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jc w:val="center"/>
      </w:pPr>
      <w:r>
        <w:drawing>
          <wp:inline xmlns:a="http://schemas.openxmlformats.org/drawingml/2006/main" xmlns:pic="http://schemas.openxmlformats.org/drawingml/2006/picture">
            <wp:extent cx="5577840" cy="1047057"/>
            <wp:docPr id="1724265419" name="Picture 1724265419"/>
            <wp:cNvGraphicFramePr>
              <a:graphicFrameLocks noChangeAspect="1"/>
            </wp:cNvGraphicFramePr>
            <a:graphic>
              <a:graphicData uri="http://schemas.openxmlformats.org/drawingml/2006/picture">
                <pic:pic>
                  <pic:nvPicPr>
                    <pic:cNvPr id="0" name="role-access-flow.png"/>
                    <pic:cNvPicPr/>
                  </pic:nvPicPr>
                  <pic:blipFill>
                    <a:blip r:embed="rId30"/>
                    <a:stretch>
                      <a:fillRect/>
                    </a:stretch>
                  </pic:blipFill>
                  <pic:spPr>
                    <a:xfrm>
                      <a:off x="0" y="0"/>
                      <a:ext cx="5577840" cy="1047057"/>
                    </a:xfrm>
                    <a:prstGeom prst="rect"/>
                  </pic:spPr>
                </pic:pic>
              </a:graphicData>
            </a:graphic>
          </wp:inline>
        </w:drawing>
      </w:r>
    </w:p>
    <w:p>
      <w:pPr>
        <w:spacing w:after="160"/>
        <w:jc w:val="center"/>
      </w:pPr>
      <w:r>
        <w:rPr>
          <w:i/>
          <w:color w:val="666666"/>
          <w:sz w:val="18"/>
        </w:rPr>
        <w:t>Figure 3.2: Role-based access flow from login to role-specific UI</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jc w:val="center"/>
      </w:pPr>
      <w:r>
        <w:drawing>
          <wp:inline xmlns:a="http://schemas.openxmlformats.org/drawingml/2006/main" xmlns:pic="http://schemas.openxmlformats.org/drawingml/2006/picture">
            <wp:extent cx="5577840" cy="405395"/>
            <wp:docPr id="1724265420" name="Picture 1724265420"/>
            <wp:cNvGraphicFramePr>
              <a:graphicFrameLocks noChangeAspect="1"/>
            </wp:cNvGraphicFramePr>
            <a:graphic>
              <a:graphicData uri="http://schemas.openxmlformats.org/drawingml/2006/picture">
                <pic:pic>
                  <pic:nvPicPr>
                    <pic:cNvPr id="0" name="document-ingestion-flow.png"/>
                    <pic:cNvPicPr/>
                  </pic:nvPicPr>
                  <pic:blipFill>
                    <a:blip r:embed="rId31"/>
                    <a:stretch>
                      <a:fillRect/>
                    </a:stretch>
                  </pic:blipFill>
                  <pic:spPr>
                    <a:xfrm>
                      <a:off x="0" y="0"/>
                      <a:ext cx="5577840" cy="405395"/>
                    </a:xfrm>
                    <a:prstGeom prst="rect"/>
                  </pic:spPr>
                </pic:pic>
              </a:graphicData>
            </a:graphic>
          </wp:inline>
        </w:drawing>
      </w:r>
    </w:p>
    <w:p>
      <w:pPr>
        <w:spacing w:after="160"/>
        <w:jc w:val="center"/>
      </w:pPr>
      <w:r>
        <w:rPr>
          <w:i/>
          <w:color w:val="666666"/>
          <w:sz w:val="18"/>
        </w:rPr>
        <w:t>Figure 4.1: Document ingestion pipeline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jc w:val="center"/>
      </w:pPr>
      <w:r>
        <w:drawing>
          <wp:inline xmlns:a="http://schemas.openxmlformats.org/drawingml/2006/main" xmlns:pic="http://schemas.openxmlformats.org/drawingml/2006/picture">
            <wp:extent cx="5577840" cy="532381"/>
            <wp:docPr id="1724265421" name="Picture 1724265421"/>
            <wp:cNvGraphicFramePr>
              <a:graphicFrameLocks noChangeAspect="1"/>
            </wp:cNvGraphicFramePr>
            <a:graphic>
              <a:graphicData uri="http://schemas.openxmlformats.org/drawingml/2006/picture">
                <pic:pic>
                  <pic:nvPicPr>
                    <pic:cNvPr id="0" name="query-generation-flow.png"/>
                    <pic:cNvPicPr/>
                  </pic:nvPicPr>
                  <pic:blipFill>
                    <a:blip r:embed="rId32"/>
                    <a:stretch>
                      <a:fillRect/>
                    </a:stretch>
                  </pic:blipFill>
                  <pic:spPr>
                    <a:xfrm>
                      <a:off x="0" y="0"/>
                      <a:ext cx="5577840" cy="532381"/>
                    </a:xfrm>
                    <a:prstGeom prst="rect"/>
                  </pic:spPr>
                </pic:pic>
              </a:graphicData>
            </a:graphic>
          </wp:inline>
        </w:drawing>
      </w:r>
    </w:p>
    <w:p>
      <w:pPr>
        <w:spacing w:after="160"/>
        <w:jc w:val="center"/>
      </w:pPr>
      <w:r>
        <w:rPr>
          <w:i/>
          <w:color w:val="666666"/>
          <w:sz w:val="18"/>
        </w:rPr>
        <w:t>Figure 4.2: Query-time retrieval and generation pipeline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jc w:val="center"/>
      </w:pPr>
      <w:r>
        <w:drawing>
          <wp:inline xmlns:a="http://schemas.openxmlformats.org/drawingml/2006/main" xmlns:pic="http://schemas.openxmlformats.org/drawingml/2006/picture">
            <wp:extent cx="5577840" cy="526990"/>
            <wp:docPr id="1724265422" name="Picture 1724265422"/>
            <wp:cNvGraphicFramePr>
              <a:graphicFrameLocks noChangeAspect="1"/>
            </wp:cNvGraphicFramePr>
            <a:graphic>
              <a:graphicData uri="http://schemas.openxmlformats.org/drawingml/2006/picture">
                <pic:pic>
                  <pic:nvPicPr>
                    <pic:cNvPr id="0" name="authentication-flow.png"/>
                    <pic:cNvPicPr/>
                  </pic:nvPicPr>
                  <pic:blipFill>
                    <a:blip r:embed="rId33"/>
                    <a:stretch>
                      <a:fillRect/>
                    </a:stretch>
                  </pic:blipFill>
                  <pic:spPr>
                    <a:xfrm>
                      <a:off x="0" y="0"/>
                      <a:ext cx="5577840" cy="526990"/>
                    </a:xfrm>
                    <a:prstGeom prst="rect"/>
                  </pic:spPr>
                </pic:pic>
              </a:graphicData>
            </a:graphic>
          </wp:inline>
        </w:drawing>
      </w:r>
    </w:p>
    <w:p>
      <w:pPr>
        <w:spacing w:after="160"/>
        <w:jc w:val="center"/>
      </w:pPr>
      <w:r>
        <w:rPr>
          <w:i/>
          <w:color w:val="666666"/>
          <w:sz w:val="18"/>
        </w:rPr>
        <w:t>Figure 4.3: Registration and login authentication flow</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jc w:val="center"/>
      </w:pPr>
      <w:r>
        <w:drawing>
          <wp:inline xmlns:a="http://schemas.openxmlformats.org/drawingml/2006/main" xmlns:pic="http://schemas.openxmlformats.org/drawingml/2006/picture">
            <wp:extent cx="5577840" cy="2809795"/>
            <wp:docPr id="1724265423" name="Picture 1724265423"/>
            <wp:cNvGraphicFramePr>
              <a:graphicFrameLocks noChangeAspect="1"/>
            </wp:cNvGraphicFramePr>
            <a:graphic>
              <a:graphicData uri="http://schemas.openxmlformats.org/drawingml/2006/picture">
                <pic:pic>
                  <pic:nvPicPr>
                    <pic:cNvPr id="0" name="backend-project-structure.png"/>
                    <pic:cNvPicPr/>
                  </pic:nvPicPr>
                  <pic:blipFill>
                    <a:blip r:embed="rId34"/>
                    <a:stretch>
                      <a:fillRect/>
                    </a:stretch>
                  </pic:blipFill>
                  <pic:spPr>
                    <a:xfrm>
                      <a:off x="0" y="0"/>
                      <a:ext cx="5577840" cy="2809795"/>
                    </a:xfrm>
                    <a:prstGeom prst="rect"/>
                  </pic:spPr>
                </pic:pic>
              </a:graphicData>
            </a:graphic>
          </wp:inline>
        </w:drawing>
      </w:r>
    </w:p>
    <w:p>
      <w:pPr>
        <w:spacing w:after="160"/>
        <w:jc w:val="center"/>
      </w:pPr>
      <w:r>
        <w:rPr>
          <w:i/>
          <w:color w:val="666666"/>
          <w:sz w:val="18"/>
        </w:rPr>
        <w:t>HARVIX backend project structure</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jc w:val="center"/>
      </w:pPr>
      <w:r>
        <w:drawing>
          <wp:inline xmlns:a="http://schemas.openxmlformats.org/drawingml/2006/main" xmlns:pic="http://schemas.openxmlformats.org/drawingml/2006/picture">
            <wp:extent cx="5577840" cy="4797067"/>
            <wp:docPr id="1724265424" name="Picture 1724265424"/>
            <wp:cNvGraphicFramePr>
              <a:graphicFrameLocks noChangeAspect="1"/>
            </wp:cNvGraphicFramePr>
            <a:graphic>
              <a:graphicData uri="http://schemas.openxmlformats.org/drawingml/2006/picture">
                <pic:pic>
                  <pic:nvPicPr>
                    <pic:cNvPr id="0" name="dashboard-screenshot.png"/>
                    <pic:cNvPicPr/>
                  </pic:nvPicPr>
                  <pic:blipFill>
                    <a:blip r:embed="rId35"/>
                    <a:stretch>
                      <a:fillRect/>
                    </a:stretch>
                  </pic:blipFill>
                  <pic:spPr>
                    <a:xfrm>
                      <a:off x="0" y="0"/>
                      <a:ext cx="5577840" cy="4797067"/>
                    </a:xfrm>
                    <a:prstGeom prst="rect"/>
                  </pic:spPr>
                </pic:pic>
              </a:graphicData>
            </a:graphic>
          </wp:inline>
        </w:drawing>
      </w:r>
    </w:p>
    <w:p>
      <w:pPr>
        <w:spacing w:after="160"/>
        <w:jc w:val="center"/>
      </w:pPr>
      <w:r>
        <w:rPr>
          <w:i/>
          <w:color w:val="666666"/>
          <w:sz w:val="18"/>
        </w:rPr>
        <w:t>HARVIX dashboard interface</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