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rPr>
          <w:color w:val="12213D"/>
        </w:rPr>
        <w:t>The rapid growth of e-commerce has increased the demand for intelligent customer support systems capable of providing accurate, instant, and reliable responses to customer queries. Traditional customer support methods, including human agents, FAQ pages, and rule-based chatbots, often face challenges such as limited availability, delayed response times, and poor scalability, while conventional Large Language Model (LLM)-based chatbots may generate inaccurate</w:t>
      </w:r>
      <w:r>
        <w:rPr>
          <w:color w:val="12213D"/>
          <w:spacing w:val="-4"/>
        </w:rPr>
        <w:t xml:space="preserve"> </w:t>
      </w:r>
      <w:r>
        <w:rPr>
          <w:color w:val="12213D"/>
        </w:rPr>
        <w:t>or</w:t>
      </w:r>
      <w:r>
        <w:rPr>
          <w:color w:val="12213D"/>
          <w:spacing w:val="-7"/>
        </w:rPr>
        <w:t xml:space="preserve"> </w:t>
      </w:r>
      <w:r>
        <w:rPr>
          <w:color w:val="12213D"/>
        </w:rPr>
        <w:t>fabricated</w:t>
      </w:r>
      <w:r>
        <w:rPr>
          <w:color w:val="12213D"/>
          <w:spacing w:val="-3"/>
        </w:rPr>
        <w:t xml:space="preserve"> </w:t>
      </w:r>
      <w:r>
        <w:rPr>
          <w:color w:val="12213D"/>
        </w:rPr>
        <w:t>responses</w:t>
      </w:r>
      <w:r>
        <w:rPr>
          <w:color w:val="12213D"/>
          <w:spacing w:val="-6"/>
        </w:rPr>
        <w:t xml:space="preserve"> </w:t>
      </w:r>
      <w:r>
        <w:rPr>
          <w:color w:val="12213D"/>
        </w:rPr>
        <w:t>due</w:t>
      </w:r>
      <w:r>
        <w:rPr>
          <w:color w:val="12213D"/>
          <w:spacing w:val="-7"/>
        </w:rPr>
        <w:t xml:space="preserve"> </w:t>
      </w:r>
      <w:r>
        <w:rPr>
          <w:color w:val="12213D"/>
        </w:rPr>
        <w:t>to</w:t>
      </w:r>
      <w:r>
        <w:rPr>
          <w:color w:val="12213D"/>
          <w:spacing w:val="-3"/>
        </w:rPr>
        <w:t xml:space="preserve"> </w:t>
      </w:r>
      <w:r>
        <w:rPr>
          <w:color w:val="12213D"/>
        </w:rPr>
        <w:t>the</w:t>
      </w:r>
      <w:r>
        <w:rPr>
          <w:color w:val="12213D"/>
          <w:spacing w:val="-6"/>
        </w:rPr>
        <w:t xml:space="preserve"> </w:t>
      </w:r>
      <w:r>
        <w:rPr>
          <w:color w:val="12213D"/>
        </w:rPr>
        <w:t>lack</w:t>
      </w:r>
      <w:r>
        <w:rPr>
          <w:color w:val="12213D"/>
          <w:spacing w:val="-1"/>
        </w:rPr>
        <w:t xml:space="preserve"> </w:t>
      </w:r>
      <w:r>
        <w:rPr>
          <w:color w:val="12213D"/>
        </w:rPr>
        <w:t>of</w:t>
      </w:r>
      <w:r>
        <w:rPr>
          <w:color w:val="12213D"/>
          <w:spacing w:val="-4"/>
        </w:rPr>
        <w:t xml:space="preserve"> </w:t>
      </w:r>
      <w:r>
        <w:rPr>
          <w:color w:val="12213D"/>
        </w:rPr>
        <w:t>domain-specific</w:t>
      </w:r>
      <w:r>
        <w:rPr>
          <w:color w:val="12213D"/>
          <w:spacing w:val="-6"/>
        </w:rPr>
        <w:t xml:space="preserve"> </w:t>
      </w:r>
      <w:r>
        <w:rPr>
          <w:color w:val="12213D"/>
        </w:rPr>
        <w:t>knowledge.</w:t>
      </w:r>
      <w:r>
        <w:rPr>
          <w:color w:val="12213D"/>
          <w:spacing w:val="-3"/>
        </w:rPr>
        <w:t xml:space="preserve"> </w:t>
      </w:r>
      <w:r>
        <w:rPr>
          <w:color w:val="12213D"/>
        </w:rPr>
        <w:t>This</w:t>
      </w:r>
      <w:r>
        <w:rPr>
          <w:color w:val="12213D"/>
          <w:spacing w:val="-5"/>
        </w:rPr>
        <w:t xml:space="preserve"> </w:t>
      </w:r>
      <w:r>
        <w:rPr>
          <w:color w:val="12213D"/>
        </w:rPr>
        <w:t xml:space="preserve">internship project presents the design and development of an </w:t>
      </w:r>
      <w:r>
        <w:rPr>
          <w:b/>
          <w:color w:val="12213D"/>
        </w:rPr>
        <w:t xml:space="preserve">Intelligent Customer Support Chatbot using Retrieval-Augmented Generation (RAG) </w:t>
      </w:r>
      <w:r>
        <w:rPr>
          <w:color w:val="12213D"/>
        </w:rPr>
        <w:t xml:space="preserve">for the </w:t>
      </w:r>
      <w:proofErr w:type="spellStart"/>
      <w:r>
        <w:rPr>
          <w:color w:val="12213D"/>
        </w:rPr>
        <w:t>NovaMart</w:t>
      </w:r>
      <w:proofErr w:type="spellEnd"/>
      <w:r>
        <w:rPr>
          <w:color w:val="12213D"/>
        </w:rPr>
        <w:t xml:space="preserve"> e-commerce platform. The proposed system combines semantic document retrieval with the generative capabilities of the Google Gemini 2.5 Flash model to generate context-aware and trustworthy responses based solely on verified organizational knowledge. The application is developed using a modern full-stack architecture consisting of a React frontend, </w:t>
      </w:r>
      <w:proofErr w:type="spellStart"/>
      <w:r>
        <w:rPr>
          <w:color w:val="12213D"/>
        </w:rPr>
        <w:t>FastAPI</w:t>
      </w:r>
      <w:proofErr w:type="spellEnd"/>
      <w:r>
        <w:rPr>
          <w:color w:val="12213D"/>
        </w:rPr>
        <w:t xml:space="preserve"> backend, MongoDB Atlas for operational data storage, </w:t>
      </w:r>
      <w:proofErr w:type="spellStart"/>
      <w:r>
        <w:rPr>
          <w:color w:val="12213D"/>
        </w:rPr>
        <w:t>ChromaDB</w:t>
      </w:r>
      <w:proofErr w:type="spellEnd"/>
      <w:r>
        <w:rPr>
          <w:color w:val="12213D"/>
        </w:rPr>
        <w:t xml:space="preserve"> as the vector database, and the all-MiniLM-L6-v2 embedding model for semantic search. Knowledge base documents in PDF, DOCX, TXT, and Markdown formats are processed through text extraction, recursive chunking, embedding generation,</w:t>
      </w:r>
      <w:r>
        <w:rPr>
          <w:color w:val="12213D"/>
          <w:spacing w:val="-5"/>
        </w:rPr>
        <w:t xml:space="preserve"> </w:t>
      </w:r>
      <w:r>
        <w:rPr>
          <w:color w:val="12213D"/>
        </w:rPr>
        <w:t>and</w:t>
      </w:r>
      <w:r>
        <w:rPr>
          <w:color w:val="12213D"/>
          <w:spacing w:val="-5"/>
        </w:rPr>
        <w:t xml:space="preserve"> </w:t>
      </w:r>
      <w:r>
        <w:rPr>
          <w:color w:val="12213D"/>
        </w:rPr>
        <w:t>vector</w:t>
      </w:r>
      <w:r>
        <w:rPr>
          <w:color w:val="12213D"/>
          <w:spacing w:val="-5"/>
        </w:rPr>
        <w:t xml:space="preserve"> </w:t>
      </w:r>
      <w:r>
        <w:rPr>
          <w:color w:val="12213D"/>
        </w:rPr>
        <w:t>indexing,</w:t>
      </w:r>
      <w:r>
        <w:rPr>
          <w:color w:val="12213D"/>
          <w:spacing w:val="-5"/>
        </w:rPr>
        <w:t xml:space="preserve"> </w:t>
      </w:r>
      <w:r>
        <w:rPr>
          <w:color w:val="12213D"/>
        </w:rPr>
        <w:t>enabling</w:t>
      </w:r>
      <w:r>
        <w:rPr>
          <w:color w:val="12213D"/>
          <w:spacing w:val="-5"/>
        </w:rPr>
        <w:t xml:space="preserve"> </w:t>
      </w:r>
      <w:r>
        <w:rPr>
          <w:color w:val="12213D"/>
        </w:rPr>
        <w:t>efficient</w:t>
      </w:r>
      <w:r>
        <w:rPr>
          <w:color w:val="12213D"/>
          <w:spacing w:val="-4"/>
        </w:rPr>
        <w:t xml:space="preserve"> </w:t>
      </w:r>
      <w:r>
        <w:rPr>
          <w:color w:val="12213D"/>
        </w:rPr>
        <w:t>similarity-based</w:t>
      </w:r>
      <w:r>
        <w:rPr>
          <w:color w:val="12213D"/>
          <w:spacing w:val="-5"/>
        </w:rPr>
        <w:t xml:space="preserve"> </w:t>
      </w:r>
      <w:r>
        <w:rPr>
          <w:color w:val="12213D"/>
        </w:rPr>
        <w:t>retrieval</w:t>
      </w:r>
      <w:r>
        <w:rPr>
          <w:color w:val="12213D"/>
          <w:spacing w:val="-5"/>
        </w:rPr>
        <w:t xml:space="preserve"> </w:t>
      </w:r>
      <w:r>
        <w:rPr>
          <w:color w:val="12213D"/>
        </w:rPr>
        <w:t>during</w:t>
      </w:r>
      <w:r>
        <w:rPr>
          <w:color w:val="12213D"/>
          <w:spacing w:val="-6"/>
        </w:rPr>
        <w:t xml:space="preserve"> </w:t>
      </w:r>
      <w:r>
        <w:rPr>
          <w:color w:val="12213D"/>
        </w:rPr>
        <w:t>user</w:t>
      </w:r>
      <w:r>
        <w:rPr>
          <w:color w:val="12213D"/>
          <w:spacing w:val="-9"/>
        </w:rPr>
        <w:t xml:space="preserve"> </w:t>
      </w:r>
      <w:r>
        <w:rPr>
          <w:color w:val="12213D"/>
        </w:rPr>
        <w:t xml:space="preserve">queries. The system also incorporates secure JWT-based authentication, </w:t>
      </w:r>
      <w:proofErr w:type="spellStart"/>
      <w:r>
        <w:rPr>
          <w:color w:val="12213D"/>
        </w:rPr>
        <w:t>bcrypt</w:t>
      </w:r>
      <w:proofErr w:type="spellEnd"/>
      <w:r>
        <w:rPr>
          <w:color w:val="12213D"/>
        </w:rPr>
        <w:t xml:space="preserve"> password hashing, role-based access control, knowledge base management, support ticket handling, customer feedback collection, and an administrative analytics dashboard to ensure secure, efficient, and scalable customer support operations. The chatbot retrieves the most relevant document chunks before generating</w:t>
      </w:r>
      <w:r>
        <w:rPr>
          <w:color w:val="12213D"/>
          <w:spacing w:val="-5"/>
        </w:rPr>
        <w:t xml:space="preserve"> </w:t>
      </w:r>
      <w:r>
        <w:rPr>
          <w:color w:val="12213D"/>
        </w:rPr>
        <w:t>responses,</w:t>
      </w:r>
      <w:r>
        <w:rPr>
          <w:color w:val="12213D"/>
          <w:spacing w:val="-4"/>
        </w:rPr>
        <w:t xml:space="preserve"> </w:t>
      </w:r>
      <w:r>
        <w:rPr>
          <w:color w:val="12213D"/>
        </w:rPr>
        <w:t>thereby</w:t>
      </w:r>
      <w:r>
        <w:rPr>
          <w:color w:val="12213D"/>
          <w:spacing w:val="-5"/>
        </w:rPr>
        <w:t xml:space="preserve"> </w:t>
      </w:r>
      <w:r>
        <w:rPr>
          <w:color w:val="12213D"/>
        </w:rPr>
        <w:t>minimizing</w:t>
      </w:r>
      <w:r>
        <w:rPr>
          <w:color w:val="12213D"/>
          <w:spacing w:val="-5"/>
        </w:rPr>
        <w:t xml:space="preserve"> </w:t>
      </w:r>
      <w:r>
        <w:rPr>
          <w:color w:val="12213D"/>
        </w:rPr>
        <w:t>hallucinations</w:t>
      </w:r>
      <w:r>
        <w:rPr>
          <w:color w:val="12213D"/>
          <w:spacing w:val="-7"/>
        </w:rPr>
        <w:t xml:space="preserve"> </w:t>
      </w:r>
      <w:r>
        <w:rPr>
          <w:color w:val="12213D"/>
        </w:rPr>
        <w:t>and</w:t>
      </w:r>
      <w:r>
        <w:rPr>
          <w:color w:val="12213D"/>
          <w:spacing w:val="-5"/>
        </w:rPr>
        <w:t xml:space="preserve"> </w:t>
      </w:r>
      <w:r>
        <w:rPr>
          <w:color w:val="12213D"/>
        </w:rPr>
        <w:t>improving</w:t>
      </w:r>
      <w:r>
        <w:rPr>
          <w:color w:val="12213D"/>
          <w:spacing w:val="-5"/>
        </w:rPr>
        <w:t xml:space="preserve"> </w:t>
      </w:r>
      <w:r>
        <w:rPr>
          <w:color w:val="12213D"/>
        </w:rPr>
        <w:t>the</w:t>
      </w:r>
      <w:r>
        <w:rPr>
          <w:color w:val="12213D"/>
          <w:spacing w:val="-8"/>
        </w:rPr>
        <w:t xml:space="preserve"> </w:t>
      </w:r>
      <w:r>
        <w:rPr>
          <w:color w:val="12213D"/>
        </w:rPr>
        <w:t>accuracy,</w:t>
      </w:r>
      <w:r>
        <w:rPr>
          <w:color w:val="12213D"/>
          <w:spacing w:val="-3"/>
        </w:rPr>
        <w:t xml:space="preserve"> </w:t>
      </w:r>
      <w:r>
        <w:rPr>
          <w:color w:val="12213D"/>
        </w:rPr>
        <w:t>reliability, and</w:t>
      </w:r>
      <w:r>
        <w:rPr>
          <w:color w:val="12213D"/>
          <w:spacing w:val="-8"/>
        </w:rPr>
        <w:t xml:space="preserve"> </w:t>
      </w:r>
      <w:r>
        <w:rPr>
          <w:color w:val="12213D"/>
        </w:rPr>
        <w:t>transparency</w:t>
      </w:r>
      <w:r>
        <w:rPr>
          <w:color w:val="12213D"/>
          <w:spacing w:val="-8"/>
        </w:rPr>
        <w:t xml:space="preserve"> </w:t>
      </w:r>
      <w:r>
        <w:rPr>
          <w:color w:val="12213D"/>
        </w:rPr>
        <w:t>of</w:t>
      </w:r>
      <w:r>
        <w:rPr>
          <w:color w:val="12213D"/>
          <w:spacing w:val="-6"/>
        </w:rPr>
        <w:t xml:space="preserve"> </w:t>
      </w:r>
      <w:r>
        <w:rPr>
          <w:color w:val="12213D"/>
        </w:rPr>
        <w:t>AI-generated</w:t>
      </w:r>
      <w:r>
        <w:rPr>
          <w:color w:val="12213D"/>
          <w:spacing w:val="-8"/>
        </w:rPr>
        <w:t xml:space="preserve"> </w:t>
      </w:r>
      <w:r>
        <w:rPr>
          <w:color w:val="12213D"/>
        </w:rPr>
        <w:t>answers.</w:t>
      </w:r>
      <w:r>
        <w:rPr>
          <w:color w:val="12213D"/>
          <w:spacing w:val="-6"/>
        </w:rPr>
        <w:t xml:space="preserve"> </w:t>
      </w:r>
      <w:r>
        <w:rPr>
          <w:color w:val="12213D"/>
        </w:rPr>
        <w:t>The</w:t>
      </w:r>
      <w:r>
        <w:rPr>
          <w:color w:val="12213D"/>
          <w:spacing w:val="-9"/>
        </w:rPr>
        <w:t xml:space="preserve"> </w:t>
      </w:r>
      <w:r>
        <w:rPr>
          <w:color w:val="12213D"/>
        </w:rPr>
        <w:t>developed</w:t>
      </w:r>
      <w:r>
        <w:rPr>
          <w:color w:val="12213D"/>
          <w:spacing w:val="-9"/>
        </w:rPr>
        <w:t xml:space="preserve"> </w:t>
      </w:r>
      <w:r>
        <w:rPr>
          <w:color w:val="12213D"/>
        </w:rPr>
        <w:t>system</w:t>
      </w:r>
      <w:r>
        <w:rPr>
          <w:color w:val="12213D"/>
          <w:spacing w:val="-8"/>
        </w:rPr>
        <w:t xml:space="preserve"> </w:t>
      </w:r>
      <w:r>
        <w:rPr>
          <w:color w:val="12213D"/>
        </w:rPr>
        <w:t>was</w:t>
      </w:r>
      <w:r>
        <w:rPr>
          <w:color w:val="12213D"/>
          <w:spacing w:val="-7"/>
        </w:rPr>
        <w:t xml:space="preserve"> </w:t>
      </w:r>
      <w:r>
        <w:rPr>
          <w:color w:val="12213D"/>
        </w:rPr>
        <w:t>successfully</w:t>
      </w:r>
      <w:r>
        <w:rPr>
          <w:color w:val="12213D"/>
          <w:spacing w:val="-8"/>
        </w:rPr>
        <w:t xml:space="preserve"> </w:t>
      </w:r>
      <w:r>
        <w:rPr>
          <w:color w:val="12213D"/>
        </w:rPr>
        <w:t>implemented and validated through end-to-end testing, demonstrating effective document retrieval, grounded response generation, secure user management, and seamless integration of AI with customer support workflows. This project highlights the practical application of Retrieval-Augmented Generation in building reliable AI-powered customer support systems while providing valuable experience in full-stack web development, vector databases, prompt engineering, secure authentication,</w:t>
      </w:r>
      <w:r>
        <w:rPr>
          <w:color w:val="12213D"/>
          <w:spacing w:val="-3"/>
        </w:rPr>
        <w:t xml:space="preserve"> </w:t>
      </w:r>
      <w:r>
        <w:rPr>
          <w:color w:val="12213D"/>
        </w:rPr>
        <w:t>and</w:t>
      </w:r>
      <w:r>
        <w:rPr>
          <w:color w:val="12213D"/>
          <w:spacing w:val="-3"/>
        </w:rPr>
        <w:t xml:space="preserve"> </w:t>
      </w:r>
      <w:r>
        <w:rPr>
          <w:color w:val="12213D"/>
        </w:rPr>
        <w:t>modern</w:t>
      </w:r>
      <w:r>
        <w:rPr>
          <w:color w:val="12213D"/>
          <w:spacing w:val="-3"/>
        </w:rPr>
        <w:t xml:space="preserve"> </w:t>
      </w:r>
      <w:r>
        <w:rPr>
          <w:color w:val="12213D"/>
        </w:rPr>
        <w:t>artificial</w:t>
      </w:r>
      <w:r>
        <w:rPr>
          <w:color w:val="12213D"/>
          <w:spacing w:val="-3"/>
        </w:rPr>
        <w:t xml:space="preserve"> </w:t>
      </w:r>
      <w:r>
        <w:rPr>
          <w:color w:val="12213D"/>
        </w:rPr>
        <w:t>intelligence</w:t>
      </w:r>
      <w:r>
        <w:rPr>
          <w:color w:val="12213D"/>
          <w:spacing w:val="-4"/>
        </w:rPr>
        <w:t xml:space="preserve"> </w:t>
      </w:r>
      <w:r>
        <w:rPr>
          <w:color w:val="12213D"/>
        </w:rPr>
        <w:t>technologies,</w:t>
      </w:r>
      <w:r>
        <w:rPr>
          <w:color w:val="12213D"/>
          <w:spacing w:val="-3"/>
        </w:rPr>
        <w:t xml:space="preserve"> </w:t>
      </w:r>
      <w:r>
        <w:rPr>
          <w:color w:val="12213D"/>
        </w:rPr>
        <w:t>making</w:t>
      </w:r>
      <w:r>
        <w:rPr>
          <w:color w:val="12213D"/>
          <w:spacing w:val="-3"/>
        </w:rPr>
        <w:t xml:space="preserve"> </w:t>
      </w:r>
      <w:r>
        <w:rPr>
          <w:color w:val="12213D"/>
        </w:rPr>
        <w:t>it</w:t>
      </w:r>
      <w:r>
        <w:rPr>
          <w:color w:val="12213D"/>
          <w:spacing w:val="-3"/>
        </w:rPr>
        <w:t xml:space="preserve"> </w:t>
      </w:r>
      <w:r>
        <w:rPr>
          <w:color w:val="12213D"/>
        </w:rPr>
        <w:t>a</w:t>
      </w:r>
      <w:r>
        <w:rPr>
          <w:color w:val="12213D"/>
          <w:spacing w:val="-2"/>
        </w:rPr>
        <w:t xml:space="preserve"> </w:t>
      </w:r>
      <w:r>
        <w:rPr>
          <w:color w:val="12213D"/>
        </w:rPr>
        <w:t>scalable</w:t>
      </w:r>
      <w:r>
        <w:rPr>
          <w:color w:val="12213D"/>
          <w:spacing w:val="-4"/>
        </w:rPr>
        <w:t xml:space="preserve"> </w:t>
      </w:r>
      <w:r>
        <w:rPr>
          <w:color w:val="12213D"/>
        </w:rPr>
        <w:t>and</w:t>
      </w:r>
      <w:r>
        <w:rPr>
          <w:color w:val="12213D"/>
          <w:spacing w:val="-1"/>
        </w:rPr>
        <w:t xml:space="preserve"> </w:t>
      </w:r>
      <w:r>
        <w:rPr>
          <w:color w:val="12213D"/>
        </w:rPr>
        <w:t>efficient solution for enhancing customer service in the e-commerce domain.</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Assistance</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Search Engines and Documentation</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General LLM Chatbots</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HARVIX over the Alternatives</w:t>
      </w:r>
    </w:p>
    <w:p>
      <w:pPr>
        <w:pStyle w:val="ListParagraph"/>
        <w:spacing w:after="80"/>
        <w:ind w:left="360" w:hanging="259"/>
      </w:pPr>
      <w:r>
        <w:t>• It combines programming, mathematics, and general assistance in one workspace.</w:t>
      </w:r>
    </w:p>
    <w:p>
      <w:pPr>
        <w:pStyle w:val="ListParagraph"/>
        <w:spacing w:after="80"/>
        <w:ind w:left="360" w:hanging="259"/>
      </w:pPr>
      <w:r>
        <w:t>• It automatically routes requests instead of requiring users to select a separate application.</w:t>
      </w:r>
    </w:p>
    <w:p>
      <w:pPr>
        <w:pStyle w:val="ListParagraph"/>
        <w:spacing w:after="80"/>
        <w:ind w:left="360" w:hanging="259"/>
      </w:pPr>
      <w:r>
        <w:t>• It uses SymPy for exact symbolic calculation rather than relying only on generated text.</w:t>
      </w:r>
    </w:p>
    <w:p>
      <w:pPr>
        <w:pStyle w:val="ListParagraph"/>
        <w:spacing w:after="80"/>
        <w:ind w:left="360" w:hanging="259"/>
      </w:pPr>
      <w:r>
        <w:t>• It has a local fallback, making the project demonstrable without a required external API key.</w:t>
      </w:r>
    </w:p>
    <w:p>
      <w:pPr>
        <w:pStyle w:val="ListParagraph"/>
        <w:spacing w:after="80"/>
        <w:ind w:left="360" w:hanging="259"/>
      </w:pPr>
      <w:r>
        <w:t>• It is container-ready, tested, documented, and structured for future expansion.</w:t>
      </w:r>
    </w:p>
    <w:p>
      <w:pPr>
        <w:pStyle w:val="Heading5"/>
        <w:spacing w:before="180" w:after="100"/>
      </w:pPr>
      <w:r>
        <w:t>System Architecture</w:t>
      </w:r>
    </w:p>
    <w:p>
      <w:pPr>
        <w:spacing w:after="100"/>
        <w:ind w:left="360"/>
      </w:pPr>
      <w:r>
        <w:rPr>
          <w:rFonts w:ascii="Consolas" w:hAnsi="Consolas"/>
          <w:sz w:val="18"/>
        </w:rPr>
        <w:t>React/Vite Dashboard  →  FastAPI REST API  →  Intent Router</w:t>
        <w:br/>
        <w:t xml:space="preserve">                                                     ├── SymPy Math Engine</w:t>
        <w:br/>
        <w:t xml:space="preserve">                                                     ├── Optional OpenAI Provider</w:t>
        <w:br/>
        <w:t xml:space="preserve">                                                     └── Local Deterministic Fallback</w:t>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React/Vite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The SymPy component performs exact symbolic operations. Docker and GitHub Actions support repeatable execution and automated validation.</w:t>
      </w:r>
    </w:p>
    <w:p>
      <w:pPr>
        <w:pStyle w:val="Heading5"/>
        <w:spacing w:before="180" w:after="100"/>
      </w:pPr>
      <w:r>
        <w:t>Functional Modules of the System</w:t>
      </w:r>
    </w:p>
    <w:p>
      <w:pPr>
        <w:pStyle w:val="Heading6"/>
        <w:spacing w:before="180" w:after="100"/>
      </w:pPr>
      <w:r>
        <w:t>The Intelligent HARVIX Chatbot</w:t>
      </w:r>
    </w:p>
    <w:p>
      <w:pPr>
        <w:pStyle w:val="BodyText"/>
        <w:spacing w:after="140" w:line="276" w:lineRule="auto"/>
      </w:pPr>
      <w:r>
        <w:t>The chat module receives user messages, displays the conversation, reports the detected mode, and returns a concise response. It includes a typing indicator and copy control to improve the interaction experience.</w:t>
      </w:r>
    </w:p>
    <w:p>
      <w:pPr>
        <w:pStyle w:val="Heading6"/>
        <w:spacing w:before="180" w:after="100"/>
      </w:pPr>
      <w:r>
        <w:t>Coding Assistance Module</w:t>
      </w:r>
    </w:p>
    <w:p>
      <w:pPr>
        <w:pStyle w:val="BodyText"/>
        <w:spacing w:after="140" w:line="276" w:lineRule="auto"/>
      </w:pPr>
      <w:r>
        <w:t>The coding module is designed for code generation, explanation, debugging, refactoring, and conversion. It accepts natural-language requests and can be extended with a language model for richer code answers.</w:t>
      </w:r>
    </w:p>
    <w:p>
      <w:pPr>
        <w:pStyle w:val="Heading6"/>
        <w:spacing w:before="180" w:after="100"/>
      </w:pPr>
      <w:r>
        <w:t>Mathematics Solver Module</w:t>
      </w:r>
    </w:p>
    <w:p>
      <w:pPr>
        <w:pStyle w:val="BodyText"/>
        <w:spacing w:after="140" w:line="276" w:lineRule="auto"/>
      </w:pPr>
      <w:r>
        <w:t>The mathematics module parses expressions and equations and uses SymPy for simplification, solving, differentiation, and integration. Parse failures are reported as controlled errors instead of guessed answers.</w:t>
      </w:r>
    </w:p>
    <w:p>
      <w:pPr>
        <w:pStyle w:val="Heading6"/>
        <w:spacing w:before="180" w:after="100"/>
      </w:pPr>
      <w:r>
        <w:t>API and Configuration Module</w:t>
      </w:r>
    </w:p>
    <w:p>
      <w:pPr>
        <w:pStyle w:val="BodyText"/>
        <w:spacing w:after="140" w:line="276" w:lineRule="auto"/>
      </w:pPr>
      <w:r>
        <w:t>The API module provides health, chat, and mathematics endpoints. Environment variables control the AI provider, model, database placeholder, and allowed CORS origins. Credentials are kept out of frontend source code.</w:t>
      </w:r>
    </w:p>
    <w:p>
      <w:pPr>
        <w:pStyle w:val="Heading5"/>
        <w:spacing w:before="180" w:after="100"/>
      </w:pPr>
      <w:r>
        <w:t>Advantages of the Proposed System</w:t>
      </w:r>
    </w:p>
    <w:p>
      <w:pPr>
        <w:pStyle w:val="ListParagraph"/>
        <w:spacing w:after="80"/>
        <w:ind w:left="360" w:hanging="259"/>
      </w:pPr>
      <w:r>
        <w:t>• Unified access to coding and mathematics support.</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mandatory external services.</w:t>
      </w:r>
    </w:p>
    <w:p>
      <w:pPr>
        <w:pStyle w:val="ListParagraph"/>
        <w:spacing w:after="80"/>
        <w:ind w:left="360" w:hanging="259"/>
      </w:pPr>
      <w:r>
        <w:t>• Clear project structure that supports testing, Docker, and future cloud deployment.</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Request Routing Methodology</w:t>
      </w:r>
    </w:p>
    <w:p>
      <w:pPr>
        <w:pStyle w:val="ListParagraph"/>
        <w:spacing w:after="80"/>
        <w:ind w:left="360" w:hanging="259"/>
      </w:pPr>
      <w:r>
        <w:t>The frontend sends the message, selected mode, and recent context to the chat endpoint.</w:t>
      </w:r>
    </w:p>
    <w:p>
      <w:pPr>
        <w:pStyle w:val="ListParagraph"/>
        <w:spacing w:after="80"/>
        <w:ind w:left="360" w:hanging="259"/>
      </w:pPr>
      <w:r>
        <w:t>If a user explicitly selects Coding or Math, the selected mode is used.</w:t>
      </w:r>
    </w:p>
    <w:p>
      <w:pPr>
        <w:pStyle w:val="ListParagraph"/>
        <w:spacing w:after="80"/>
        <w:ind w:left="360" w:hanging="259"/>
      </w:pPr>
      <w:r>
        <w:t>In Auto mode, code markers, programming terms, and mathematics keywords are inspected.</w:t>
      </w:r>
    </w:p>
    <w:p>
      <w:pPr>
        <w:pStyle w:val="ListParagraph"/>
        <w:spacing w:after="80"/>
        <w:ind w:left="360" w:hanging="259"/>
      </w:pPr>
      <w:r>
        <w:t>The request is routed to general, coding, or mathematics processing.</w:t>
      </w:r>
    </w:p>
    <w:p>
      <w:pPr>
        <w:pStyle w:val="ListParagraph"/>
        <w:spacing w:after="80"/>
        <w:ind w:left="360" w:hanging="259"/>
      </w:pPr>
      <w:r>
        <w:t>The response includes the answer, detected mode, elapsed time, and source information.</w:t>
      </w:r>
    </w:p>
    <w:p>
      <w:pPr>
        <w:pStyle w:val="Heading5"/>
        <w:spacing w:before="180" w:after="100"/>
      </w:pPr>
      <w:r>
        <w:t>Mathematics Processing Methodology</w:t>
      </w:r>
    </w:p>
    <w:p>
      <w:pPr>
        <w:pStyle w:val="BodyText"/>
        <w:spacing w:after="140" w:line="276" w:lineRule="auto"/>
      </w:pPr>
      <w:r>
        <w:t>The mathematics endpoint accepts an expression and operation. SymPy transformations support implicit multiplication and caret-style exponent input. Equation solving separates the two sides of an equality, derivative requests differentiate with respect to x, integral requests return an antiderivative with the constant C, and ordinary expressions are simplified symbolically. Invalid expressions generate an HTTP 400 response so that the system does not fabricate a result.</w:t>
      </w:r>
    </w:p>
    <w:p>
      <w:pPr>
        <w:pStyle w:val="Heading5"/>
        <w:spacing w:before="180" w:after="100"/>
      </w:pPr>
      <w:r>
        <w:t>Chat Response Methodology</w:t>
      </w:r>
    </w:p>
    <w:p>
      <w:pPr>
        <w:pStyle w:val="BodyText"/>
        <w:spacing w:after="140" w:line="276" w:lineRule="auto"/>
      </w:pPr>
      <w:r>
        <w:t>For local operation, HARVIX selects a concise response based on the detected intent. When an OpenAI-compatible API key is available, the backend sends the system prompt, recent conversation history, and user message to the configured model. Provider errors are caught so that the local fallback remains available.</w:t>
      </w:r>
    </w:p>
    <w:p>
      <w:pPr>
        <w:pStyle w:val="Heading5"/>
        <w:spacing w:before="180" w:after="100"/>
      </w:pPr>
      <w:r>
        <w:t>Configuration and Security Methodology</w:t>
      </w:r>
    </w:p>
    <w:p>
      <w:pPr>
        <w:pStyle w:val="ListParagraph"/>
        <w:spacing w:after="80"/>
        <w:ind w:left="360" w:hanging="259"/>
      </w:pPr>
      <w:r>
        <w:t>• Pydantic models validate required fields and restrict input length.</w:t>
      </w:r>
    </w:p>
    <w:p>
      <w:pPr>
        <w:pStyle w:val="ListParagraph"/>
        <w:spacing w:after="80"/>
        <w:ind w:left="360" w:hanging="259"/>
      </w:pPr>
      <w:r>
        <w:t>• CORS origins are read from the CORS_ORIGINS environment variable.</w:t>
      </w:r>
    </w:p>
    <w:p>
      <w:pPr>
        <w:pStyle w:val="ListParagraph"/>
        <w:spacing w:after="80"/>
        <w:ind w:left="360" w:hanging="259"/>
      </w:pPr>
      <w:r>
        <w:t>• API keys remain on the backend and are not exposed in the browser.</w:t>
      </w:r>
    </w:p>
    <w:p>
      <w:pPr>
        <w:pStyle w:val="ListParagraph"/>
        <w:spacing w:after="80"/>
        <w:ind w:left="360" w:hanging="259"/>
      </w:pPr>
      <w:r>
        <w:t>• The .env file is excluded from version control.</w:t>
      </w:r>
    </w:p>
    <w:p>
      <w:pPr>
        <w:pStyle w:val="ListParagraph"/>
        <w:spacing w:after="80"/>
        <w:ind w:left="360" w:hanging="259"/>
      </w:pPr>
      <w:r>
        <w:t>• The application returns controlled errors for invalid input and failed calculations.</w:t>
      </w:r>
    </w:p>
    <w:p>
      <w:pPr>
        <w:pStyle w:val="Heading5"/>
        <w:spacing w:before="180" w:after="100"/>
      </w:pPr>
      <w:r>
        <w:t>Testing Methodology</w:t>
      </w:r>
    </w:p>
    <w:p>
      <w:pPr>
        <w:pStyle w:val="BodyText"/>
        <w:spacing w:after="140" w:line="276" w:lineRule="auto"/>
      </w:pPr>
      <w:r>
        <w:t>Testing combines automated API tests, direct endpoint smoke tests, and a frontend production build. The backend tests verify health status, quadratic equation solving, and automatic coding-mode detection. The frontend is validated through npm run build, and the CI workflow repeats the tests and build on pushes and pull requests.</w:t>
      </w:r>
    </w:p>
    <w:p>
      <w:pPr>
        <w:pStyle w:val="Heading5"/>
        <w:spacing w:before="180" w:after="100"/>
      </w:pPr>
      <w:r>
        <w:t>Containerization and CI Methodology</w:t>
      </w:r>
    </w:p>
    <w:p>
      <w:pPr>
        <w:pStyle w:val="BodyText"/>
        <w:spacing w:after="140" w:line="276" w:lineRule="auto"/>
      </w:pPr>
      <w:r>
        <w:t>The Dockerfile packages the FastAPI service with its Python dependencies. Docker Compose defines API and frontend services for local multi-service execution. GitHub Actions installs dependencies, runs Pytest, installs frontend packages, and generates the production build to catch integration errors early.</w:t>
      </w:r>
    </w:p>
    <w:p>
      <w:pPr>
        <w:pStyle w:val="Heading1"/>
        <w:spacing w:before="280" w:after="100"/>
      </w:pPr>
      <w:r>
        <w:t>CHAPTER 5</w:t>
      </w:r>
    </w:p>
    <w:p>
      <w:pPr>
        <w:pStyle w:val="Heading2"/>
        <w:spacing w:before="180" w:after="100"/>
      </w:pPr>
      <w:r>
        <w:t>Implementation</w:t>
      </w:r>
    </w:p>
    <w:p>
      <w:pPr>
        <w:pStyle w:val="Heading5"/>
        <w:spacing w:before="180" w:after="100"/>
      </w:pPr>
      <w:r>
        <w:t>Frontend Project Structure</w:t>
      </w:r>
    </w:p>
    <w:p>
      <w:pPr>
        <w:pStyle w:val="BodyText"/>
        <w:spacing w:after="140" w:line="276" w:lineRule="auto"/>
      </w:pPr>
      <w:r>
        <w:t>The frontend is implemented as a Vite-powered React single-page application. The main component manages messages, input, mode selection, loading state, API calls, suggestions, and sidebar visibility. The stylesheet defines the dark workspace, responsive layout, navigation, composer, message bubbles, and status indicators.</w:t>
      </w:r>
    </w:p>
    <w:p>
      <w:pPr>
        <w:spacing w:after="100"/>
        <w:ind w:left="360"/>
      </w:pPr>
      <w:r>
        <w:rPr>
          <w:rFonts w:ascii="Consolas" w:hAnsi="Consolas"/>
          <w:sz w:val="18"/>
        </w:rPr>
        <w:t>frontend/</w:t>
        <w:br/>
        <w:t>├── index.html</w:t>
        <w:br/>
        <w:t>├── package.json</w:t>
        <w:br/>
        <w:t>├── vite.config.js</w:t>
        <w:br/>
        <w:t>└── src/</w:t>
        <w:br/>
        <w:t xml:space="preserve">    ├── main.jsx</w:t>
        <w:br/>
        <w:t xml:space="preserve">    └── styles.css</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data models, router, math engine, local responses, and optional language-model adapter. Tests are kept in a separate backend/tests directory.</w:t>
      </w:r>
    </w:p>
    <w:p>
      <w:pPr>
        <w:spacing w:after="100"/>
        <w:ind w:left="360"/>
      </w:pPr>
      <w:r>
        <w:rPr>
          <w:rFonts w:ascii="Consolas" w:hAnsi="Consolas"/>
          <w:sz w:val="18"/>
        </w:rPr>
        <w:t>backend/</w:t>
        <w:br/>
        <w:t>├── __init__.py</w:t>
        <w:br/>
        <w:t>├── app/</w:t>
        <w:br/>
        <w:t>│   ├── __init__.py</w:t>
        <w:br/>
        <w:t>│   └── main.py</w:t>
        <w:br/>
        <w:t>└── tests/</w:t>
        <w:br/>
        <w:t xml:space="preserve">    └── test_api.py</w:t>
      </w:r>
    </w:p>
    <w:p>
      <w:pPr>
        <w:pStyle w:val="Heading5"/>
        <w:spacing w:before="180" w:after="100"/>
      </w:pPr>
      <w:r>
        <w:t>Chat Endpoint Implementation</w:t>
      </w:r>
    </w:p>
    <w:p>
      <w:pPr>
        <w:pStyle w:val="BodyText"/>
        <w:spacing w:after="140" w:line="276" w:lineRule="auto"/>
      </w:pPr>
      <w:r>
        <w:t>POST /api/chat accepts a message, optional mode, and recent history. The route determines the processing mode, creates a local response, and attempts optional provider generation when the API key is configured. The response includes reply, mode, elapsed_ms, and sources fields.</w:t>
      </w:r>
    </w:p>
    <w:p>
      <w:pPr>
        <w:pStyle w:val="Heading5"/>
        <w:spacing w:before="180" w:after="100"/>
      </w:pPr>
      <w:r>
        <w:t>Mathematics Endpoint Implementation</w:t>
      </w:r>
    </w:p>
    <w:p>
      <w:pPr>
        <w:pStyle w:val="BodyText"/>
        <w:spacing w:after="140" w:line="276" w:lineRule="auto"/>
      </w:pPr>
      <w:r>
        <w:t>POST /api/math accepts an expression and operation. It returns the original expression, symbolic result, processing steps, and a verification flag. The endpoint covers equation solving, differentiation, integration, and simplification through SymPy.</w:t>
      </w:r>
    </w:p>
    <w:p>
      <w:pPr>
        <w:pStyle w:val="Heading5"/>
        <w:spacing w:before="180" w:after="100"/>
      </w:pPr>
      <w:r>
        <w:t>Dashboard Features</w:t>
      </w:r>
    </w:p>
    <w:p>
      <w:pPr>
        <w:pStyle w:val="ListParagraph"/>
        <w:spacing w:after="80"/>
        <w:ind w:left="360" w:hanging="259"/>
      </w:pPr>
      <w:r>
        <w:t>• New conversation control and recent-chat sidebar.</w:t>
      </w:r>
    </w:p>
    <w:p>
      <w:pPr>
        <w:pStyle w:val="ListParagraph"/>
        <w:spacing w:after="80"/>
        <w:ind w:left="360" w:hanging="259"/>
      </w:pPr>
      <w:r>
        <w:t>• Auto, Coding, and Math mode buttons.</w:t>
      </w:r>
    </w:p>
    <w:p>
      <w:pPr>
        <w:pStyle w:val="ListParagraph"/>
        <w:spacing w:after="80"/>
        <w:ind w:left="360" w:hanging="259"/>
      </w:pPr>
      <w:r>
        <w:t>• Suggested prompts for mathematics, coding, and concept explanation.</w:t>
      </w:r>
    </w:p>
    <w:p>
      <w:pPr>
        <w:pStyle w:val="ListParagraph"/>
        <w:spacing w:after="80"/>
        <w:ind w:left="360" w:hanging="259"/>
      </w:pPr>
      <w:r>
        <w:t>• Typing indicator while the API request is being processed.</w:t>
      </w:r>
    </w:p>
    <w:p>
      <w:pPr>
        <w:pStyle w:val="ListParagraph"/>
        <w:spacing w:after="80"/>
        <w:ind w:left="360" w:hanging="259"/>
      </w:pPr>
      <w:r>
        <w:t>• Copy control for assistant responses.</w:t>
      </w:r>
    </w:p>
    <w:p>
      <w:pPr>
        <w:pStyle w:val="ListParagraph"/>
        <w:spacing w:after="80"/>
        <w:ind w:left="360" w:hanging="259"/>
      </w:pPr>
      <w:r>
        <w:t>• Responsive layout with mobile sidebar behavior.</w:t>
      </w:r>
    </w:p>
    <w:p>
      <w:pPr>
        <w:pStyle w:val="ListParagraph"/>
        <w:spacing w:after="80"/>
        <w:ind w:left="360" w:hanging="259"/>
      </w:pPr>
      <w:r>
        <w:t>• Operational status indicator and project branding.</w:t>
      </w:r>
    </w:p>
    <w:p>
      <w:pPr>
        <w:pStyle w:val="Heading5"/>
        <w:spacing w:before="180" w:after="100"/>
      </w:pPr>
      <w:r>
        <w:t>Dashboard Screenshot</w:t>
      </w:r>
    </w:p>
    <w:p>
      <w:pPr>
        <w:jc w:val="center"/>
      </w:pPr>
      <w:r>
        <w:drawing>
          <wp:inline xmlns:a="http://schemas.openxmlformats.org/drawingml/2006/main" xmlns:pic="http://schemas.openxmlformats.org/drawingml/2006/picture">
            <wp:extent cx="5669280" cy="4875708"/>
            <wp:docPr id="1724265418" name="Picture 1724265418"/>
            <wp:cNvGraphicFramePr>
              <a:graphicFrameLocks noChangeAspect="1"/>
            </wp:cNvGraphicFramePr>
            <a:graphic>
              <a:graphicData uri="http://schemas.openxmlformats.org/drawingml/2006/picture">
                <pic:pic>
                  <pic:nvPicPr>
                    <pic:cNvPr id="0" name="dashboard-screenshot.png"/>
                    <pic:cNvPicPr/>
                  </pic:nvPicPr>
                  <pic:blipFill>
                    <a:blip r:embed="rId29"/>
                    <a:stretch>
                      <a:fillRect/>
                    </a:stretch>
                  </pic:blipFill>
                  <pic:spPr>
                    <a:xfrm>
                      <a:off x="0" y="0"/>
                      <a:ext cx="5669280" cy="4875708"/>
                    </a:xfrm>
                    <a:prstGeom prst="rect"/>
                  </pic:spPr>
                </pic:pic>
              </a:graphicData>
            </a:graphic>
          </wp:inline>
        </w:drawing>
      </w:r>
    </w:p>
    <w:p>
      <w:pPr>
        <w:spacing w:after="160"/>
        <w:jc w:val="center"/>
      </w:pPr>
      <w:r>
        <w:rPr>
          <w:i/>
          <w:color w:val="666666"/>
          <w:sz w:val="18"/>
        </w:rPr>
        <w:t>Figure 5.1: HARVIX AI workspace dashboard</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internship template described an unrelated RAG application; the Chapter 1–6 content was rewritten to match the implemented HARVIX project.</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w:t>
      </w:r>
    </w:p>
    <w:p>
      <w:pPr>
        <w:pStyle w:val="Heading5"/>
        <w:spacing w:before="180" w:after="100"/>
      </w:pPr>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