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t>SUNIL CASTRO J (711724UCB128)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r>
        <w:t>bonafide record of the internship work carried out by SUNIL CASTRO J, in partial fulfilment of the requirements for the award of the degree of Bachelor of Technology in Computer Science and Business Systems, during the academic year 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t>Dear SUNIL CASTRO J,</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t>This is to certify that Mr. SUNIL CASTRO J (Reg No: 711724UCB128), a B.Tech student of the Department of Computer Science and Business Systems (CSBS) at KGiSL Institute of Technology, has successfully completed his Offline Internship Training in Artificial Intelligence at Benchmarrk during the period from 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t>We found her to be sincere, responsible, and dedicated in carrying out his responsibilities. 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t>We appreciate his efforts and contribution during the internship period and wish her continued successin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t>HARVIX is a web-based AI assistant developed to provide programming support, mathematical problem solving, and general technical assistance through one conversational dashboard. The system uses React and Vite for the frontend and Python FastAPI for the backend REST service. It automatically routes user requests into general, coding, or mathematics categories. SymPy is integrated to perform accurate symbolic operations such as equation solving, simplification, differentiation, and integration. The dashboard supports Auto, Coding, and Math modes, suggested prompts, response copying, typing feedback, and responsive layouts. General and coding responses can use an optional OpenAI-compatible provider, while a local fallback supports operation without an external API. The project includes input validation, error handling, automated Pytest tests, Docker support, GitHub Actions continuous integration, and technical documentation. Testing confirmed the functionality of the API endpoints, mathematics engine, request routing, frontend build, and dashboard. HARVIX demonstrates the practical integration of artificial intelligence, symbolic computation, modern web development, and software engineering practices in an educational assistant platform.</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pPr>
              <w:spacing w:after="0"/>
            </w:pPr>
            <w:r>
              <w:rPr>
                <w:sz w:val="18"/>
              </w:rPr>
              <w:t>CHAPTER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Introduction</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7</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Existing Method</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Proposed Method with 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9</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4</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Methodology</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11</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13</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6</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Conclusion</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21</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pPr>
              <w:spacing w:after="0"/>
            </w:pPr>
            <w:r>
              <w:rPr>
                <w:sz w:val="18"/>
              </w:rPr>
              <w:t>FIGURE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3.1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HARVIX system architecture</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9</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3.2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Role-based access flow from login to role-specific UI</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10</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Document ingestion 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12</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4.2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Query-time retrieval and generation pipeline</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12</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Registration and login authentication 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12</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pPr>
              <w:spacing w:after="0"/>
            </w:pPr>
            <w:r>
              <w:rPr>
                <w:sz w:val="18"/>
              </w:rPr>
              <w:t>TABLE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4.1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Technology stack by layer</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11</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5.1</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Summary of the primary backend API endpoints</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17</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Functional Test 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21</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jc w:val="center"/>
      </w:pPr>
      <w:r>
        <w:drawing>
          <wp:inline xmlns:a="http://schemas.openxmlformats.org/drawingml/2006/main" xmlns:pic="http://schemas.openxmlformats.org/drawingml/2006/picture">
            <wp:extent cx="5577840" cy="1047057"/>
            <wp:docPr id="1724265419" name="Picture 1724265419"/>
            <wp:cNvGraphicFramePr>
              <a:graphicFrameLocks noChangeAspect="1"/>
            </wp:cNvGraphicFramePr>
            <a:graphic>
              <a:graphicData uri="http://schemas.openxmlformats.org/drawingml/2006/picture">
                <pic:pic>
                  <pic:nvPicPr>
                    <pic:cNvPr id="0" name="role-access-flow.png"/>
                    <pic:cNvPicPr/>
                  </pic:nvPicPr>
                  <pic:blipFill>
                    <a:blip r:embed="rId30"/>
                    <a:stretch>
                      <a:fillRect/>
                    </a:stretch>
                  </pic:blipFill>
                  <pic:spPr>
                    <a:xfrm>
                      <a:off x="0" y="0"/>
                      <a:ext cx="5577840" cy="1047057"/>
                    </a:xfrm>
                    <a:prstGeom prst="rect"/>
                  </pic:spPr>
                </pic:pic>
              </a:graphicData>
            </a:graphic>
          </wp:inline>
        </w:drawing>
      </w:r>
    </w:p>
    <w:p>
      <w:pPr>
        <w:spacing w:after="160"/>
        <w:jc w:val="center"/>
      </w:pPr>
      <w:r>
        <w:rPr>
          <w:i/>
          <w:color w:val="666666"/>
          <w:sz w:val="18"/>
        </w:rPr>
        <w:t>Figure 3.2: Role-based access flow from login to role-specific UI</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Pr>
                <w:sz w:val="17"/>
              </w:rPr>
              <w:t>Layer</w:t>
            </w:r>
          </w:p>
        </w:tc>
        <w:tc>
          <w:tcPr>
            <w:tcW w:type="dxa" w:w="3240"/>
            <w:vAlign w:val="center"/>
            <w:shd w:fill="17365D"/>
          </w:tcPr>
          <w:p>
            <w:pPr>
              <w:spacing w:after="0"/>
            </w:pPr>
            <w:r>
              <w:rPr>
                <w:sz w:val="17"/>
              </w:rPr>
              <w:t>Technology / Tool</w:t>
            </w:r>
          </w:p>
        </w:tc>
        <w:tc>
          <w:tcPr>
            <w:tcW w:type="dxa" w:w="3240"/>
            <w:vAlign w:val="center"/>
            <w:shd w:fill="17365D"/>
          </w:tcPr>
          <w:p>
            <w:pPr>
              <w:spacing w:after="0"/>
            </w:pPr>
            <w:r>
              <w:rPr>
                <w:sz w:val="17"/>
              </w:rPr>
              <w:t>HARVIX Implementation</w:t>
            </w:r>
          </w:p>
        </w:tc>
      </w:tr>
      <w:tr>
        <w:tc>
          <w:tcPr>
            <w:tcW w:type="dxa" w:w="3240"/>
          </w:tcPr>
          <w:p>
            <w:pPr>
              <w:spacing w:after="0"/>
            </w:pPr>
            <w:r>
              <w:rPr>
                <w:sz w:val="17"/>
              </w:rPr>
              <w:t>Frontend</w:t>
            </w:r>
          </w:p>
        </w:tc>
        <w:tc>
          <w:tcPr>
            <w:tcW w:type="dxa" w:w="3240"/>
          </w:tcPr>
          <w:p>
            <w:pPr>
              <w:spacing w:after="0"/>
            </w:pPr>
            <w:r>
              <w:rPr>
                <w:sz w:val="17"/>
              </w:rPr>
              <w:t>React + Vite</w:t>
            </w:r>
          </w:p>
        </w:tc>
        <w:tc>
          <w:tcPr>
            <w:tcW w:type="dxa" w:w="3240"/>
          </w:tcPr>
          <w:p>
            <w:pPr>
              <w:spacing w:after="0"/>
            </w:pPr>
            <w:r>
              <w:rPr>
                <w:sz w:val="17"/>
              </w:rPr>
              <w:t>Single-page AI workspace, chat interface, mode controls, prompts, responsive layout</w:t>
            </w:r>
          </w:p>
        </w:tc>
      </w:tr>
      <w:tr>
        <w:tc>
          <w:tcPr>
            <w:tcW w:type="dxa" w:w="3240"/>
          </w:tcPr>
          <w:p>
            <w:pPr>
              <w:spacing w:after="0"/>
            </w:pPr>
            <w:r>
              <w:rPr>
                <w:sz w:val="17"/>
              </w:rPr>
              <w:t>UI design</w:t>
            </w:r>
          </w:p>
        </w:tc>
        <w:tc>
          <w:tcPr>
            <w:tcW w:type="dxa" w:w="3240"/>
          </w:tcPr>
          <w:p>
            <w:pPr>
              <w:spacing w:after="0"/>
            </w:pPr>
            <w:r>
              <w:rPr>
                <w:sz w:val="17"/>
              </w:rPr>
              <w:t>CSS + Lucide icons</w:t>
            </w:r>
          </w:p>
        </w:tc>
        <w:tc>
          <w:tcPr>
            <w:tcW w:type="dxa" w:w="3240"/>
          </w:tcPr>
          <w:p>
            <w:pPr>
              <w:spacing w:after="0"/>
            </w:pPr>
            <w:r>
              <w:rPr>
                <w:sz w:val="17"/>
              </w:rPr>
              <w:t>Dark dashboard theme, navigation rail, message composer, status indicators</w:t>
            </w:r>
          </w:p>
        </w:tc>
      </w:tr>
      <w:tr>
        <w:tc>
          <w:tcPr>
            <w:tcW w:type="dxa" w:w="3240"/>
          </w:tcPr>
          <w:p>
            <w:pPr>
              <w:spacing w:after="0"/>
            </w:pPr>
            <w:r>
              <w:rPr>
                <w:sz w:val="17"/>
              </w:rPr>
              <w:t>Backend</w:t>
            </w:r>
          </w:p>
        </w:tc>
        <w:tc>
          <w:tcPr>
            <w:tcW w:type="dxa" w:w="3240"/>
          </w:tcPr>
          <w:p>
            <w:pPr>
              <w:spacing w:after="0"/>
            </w:pPr>
            <w:r>
              <w:rPr>
                <w:sz w:val="17"/>
              </w:rPr>
              <w:t>Python + FastAPI + Uvicorn</w:t>
            </w:r>
          </w:p>
        </w:tc>
        <w:tc>
          <w:tcPr>
            <w:tcW w:type="dxa" w:w="3240"/>
          </w:tcPr>
          <w:p>
            <w:pPr>
              <w:spacing w:after="0"/>
            </w:pPr>
            <w:r>
              <w:rPr>
                <w:sz w:val="17"/>
              </w:rPr>
              <w:t>REST service, endpoint routing, request validation, CORS and error handling</w:t>
            </w:r>
          </w:p>
        </w:tc>
      </w:tr>
      <w:tr>
        <w:tc>
          <w:tcPr>
            <w:tcW w:type="dxa" w:w="3240"/>
          </w:tcPr>
          <w:p>
            <w:pPr>
              <w:spacing w:after="0"/>
            </w:pPr>
            <w:r>
              <w:rPr>
                <w:sz w:val="17"/>
              </w:rPr>
              <w:t>Data models</w:t>
            </w:r>
          </w:p>
        </w:tc>
        <w:tc>
          <w:tcPr>
            <w:tcW w:type="dxa" w:w="3240"/>
          </w:tcPr>
          <w:p>
            <w:pPr>
              <w:spacing w:after="0"/>
            </w:pPr>
            <w:r>
              <w:rPr>
                <w:sz w:val="17"/>
              </w:rPr>
              <w:t>Pydantic</w:t>
            </w:r>
          </w:p>
        </w:tc>
        <w:tc>
          <w:tcPr>
            <w:tcW w:type="dxa" w:w="3240"/>
          </w:tcPr>
          <w:p>
            <w:pPr>
              <w:spacing w:after="0"/>
            </w:pPr>
            <w:r>
              <w:rPr>
                <w:sz w:val="17"/>
              </w:rPr>
              <w:t>Validated ChatRequest, ChatResponse, MathRequest and MathResponse schemas</w:t>
            </w:r>
          </w:p>
        </w:tc>
      </w:tr>
      <w:tr>
        <w:tc>
          <w:tcPr>
            <w:tcW w:type="dxa" w:w="3240"/>
          </w:tcPr>
          <w:p>
            <w:pPr>
              <w:spacing w:after="0"/>
            </w:pPr>
            <w:r>
              <w:rPr>
                <w:sz w:val="17"/>
              </w:rPr>
              <w:t>Intent routing</w:t>
            </w:r>
          </w:p>
        </w:tc>
        <w:tc>
          <w:tcPr>
            <w:tcW w:type="dxa" w:w="3240"/>
          </w:tcPr>
          <w:p>
            <w:pPr>
              <w:spacing w:after="0"/>
            </w:pPr>
            <w:r>
              <w:rPr>
                <w:sz w:val="17"/>
              </w:rPr>
              <w:t>Python rule-based router</w:t>
            </w:r>
          </w:p>
        </w:tc>
        <w:tc>
          <w:tcPr>
            <w:tcW w:type="dxa" w:w="3240"/>
          </w:tcPr>
          <w:p>
            <w:pPr>
              <w:spacing w:after="0"/>
            </w:pPr>
            <w:r>
              <w:rPr>
                <w:sz w:val="17"/>
              </w:rPr>
              <w:t>Classifies Auto requests as general, coding, or mathematics</w:t>
            </w:r>
          </w:p>
        </w:tc>
      </w:tr>
      <w:tr>
        <w:tc>
          <w:tcPr>
            <w:tcW w:type="dxa" w:w="3240"/>
          </w:tcPr>
          <w:p>
            <w:pPr>
              <w:spacing w:after="0"/>
            </w:pPr>
            <w:r>
              <w:rPr>
                <w:sz w:val="17"/>
              </w:rPr>
              <w:t>Math engine</w:t>
            </w:r>
          </w:p>
        </w:tc>
        <w:tc>
          <w:tcPr>
            <w:tcW w:type="dxa" w:w="3240"/>
          </w:tcPr>
          <w:p>
            <w:pPr>
              <w:spacing w:after="0"/>
            </w:pPr>
            <w:r>
              <w:rPr>
                <w:sz w:val="17"/>
              </w:rPr>
              <w:t>SymPy</w:t>
            </w:r>
          </w:p>
        </w:tc>
        <w:tc>
          <w:tcPr>
            <w:tcW w:type="dxa" w:w="3240"/>
          </w:tcPr>
          <w:p>
            <w:pPr>
              <w:spacing w:after="0"/>
            </w:pPr>
            <w:r>
              <w:rPr>
                <w:sz w:val="17"/>
              </w:rPr>
              <w:t>Exact equation solving, simplification, differentiation and integration</w:t>
            </w:r>
          </w:p>
        </w:tc>
      </w:tr>
      <w:tr>
        <w:tc>
          <w:tcPr>
            <w:tcW w:type="dxa" w:w="3240"/>
          </w:tcPr>
          <w:p>
            <w:pPr>
              <w:spacing w:after="0"/>
            </w:pPr>
            <w:r>
              <w:rPr>
                <w:sz w:val="17"/>
              </w:rPr>
              <w:t>AI provider</w:t>
            </w:r>
          </w:p>
        </w:tc>
        <w:tc>
          <w:tcPr>
            <w:tcW w:type="dxa" w:w="3240"/>
          </w:tcPr>
          <w:p>
            <w:pPr>
              <w:spacing w:after="0"/>
            </w:pPr>
            <w:r>
              <w:rPr>
                <w:sz w:val="17"/>
              </w:rPr>
              <w:t>OpenAI-compatible API (optional)</w:t>
            </w:r>
          </w:p>
        </w:tc>
        <w:tc>
          <w:tcPr>
            <w:tcW w:type="dxa" w:w="3240"/>
          </w:tcPr>
          <w:p>
            <w:pPr>
              <w:spacing w:after="0"/>
            </w:pPr>
            <w:r>
              <w:rPr>
                <w:sz w:val="17"/>
              </w:rPr>
              <w:t>Enhanced general and coding responses through backend-only configuration</w:t>
            </w:r>
          </w:p>
        </w:tc>
      </w:tr>
      <w:tr>
        <w:tc>
          <w:tcPr>
            <w:tcW w:type="dxa" w:w="3240"/>
          </w:tcPr>
          <w:p>
            <w:pPr>
              <w:spacing w:after="0"/>
            </w:pPr>
            <w:r>
              <w:rPr>
                <w:sz w:val="17"/>
              </w:rPr>
              <w:t>Testing / delivery</w:t>
            </w:r>
          </w:p>
        </w:tc>
        <w:tc>
          <w:tcPr>
            <w:tcW w:type="dxa" w:w="3240"/>
          </w:tcPr>
          <w:p>
            <w:pPr>
              <w:spacing w:after="0"/>
            </w:pPr>
            <w:r>
              <w:rPr>
                <w:sz w:val="17"/>
              </w:rPr>
              <w:t>Pytest, Docker, GitHub Actions</w:t>
            </w:r>
          </w:p>
        </w:tc>
        <w:tc>
          <w:tcPr>
            <w:tcW w:type="dxa" w:w="3240"/>
          </w:tcPr>
          <w:p>
            <w:pPr>
              <w:spacing w:after="0"/>
            </w:pPr>
            <w:r>
              <w:rPr>
                <w:sz w:val="17"/>
              </w:rPr>
              <w:t>Automated tests, repeatable builds, container support and CI validation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jc w:val="center"/>
      </w:pPr>
      <w:r>
        <w:drawing>
          <wp:inline xmlns:a="http://schemas.openxmlformats.org/drawingml/2006/main" xmlns:pic="http://schemas.openxmlformats.org/drawingml/2006/picture">
            <wp:extent cx="5577840" cy="405395"/>
            <wp:docPr id="1724265420" name="Picture 1724265420"/>
            <wp:cNvGraphicFramePr>
              <a:graphicFrameLocks noChangeAspect="1"/>
            </wp:cNvGraphicFramePr>
            <a:graphic>
              <a:graphicData uri="http://schemas.openxmlformats.org/drawingml/2006/picture">
                <pic:pic>
                  <pic:nvPicPr>
                    <pic:cNvPr id="0" name="document-ingestion-flow.png"/>
                    <pic:cNvPicPr/>
                  </pic:nvPicPr>
                  <pic:blipFill>
                    <a:blip r:embed="rId31"/>
                    <a:stretch>
                      <a:fillRect/>
                    </a:stretch>
                  </pic:blipFill>
                  <pic:spPr>
                    <a:xfrm>
                      <a:off x="0" y="0"/>
                      <a:ext cx="5577840" cy="405395"/>
                    </a:xfrm>
                    <a:prstGeom prst="rect"/>
                  </pic:spPr>
                </pic:pic>
              </a:graphicData>
            </a:graphic>
          </wp:inline>
        </w:drawing>
      </w:r>
    </w:p>
    <w:p>
      <w:pPr>
        <w:spacing w:after="160"/>
        <w:jc w:val="center"/>
      </w:pPr>
      <w:r>
        <w:rPr>
          <w:i/>
          <w:color w:val="666666"/>
          <w:sz w:val="18"/>
        </w:rPr>
        <w:t>Figure 4.1: Document ingestion pipeline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jc w:val="center"/>
      </w:pPr>
      <w:r>
        <w:drawing>
          <wp:inline xmlns:a="http://schemas.openxmlformats.org/drawingml/2006/main" xmlns:pic="http://schemas.openxmlformats.org/drawingml/2006/picture">
            <wp:extent cx="5577840" cy="532381"/>
            <wp:docPr id="1724265421" name="Picture 1724265421"/>
            <wp:cNvGraphicFramePr>
              <a:graphicFrameLocks noChangeAspect="1"/>
            </wp:cNvGraphicFramePr>
            <a:graphic>
              <a:graphicData uri="http://schemas.openxmlformats.org/drawingml/2006/picture">
                <pic:pic>
                  <pic:nvPicPr>
                    <pic:cNvPr id="0" name="query-generation-flow.png"/>
                    <pic:cNvPicPr/>
                  </pic:nvPicPr>
                  <pic:blipFill>
                    <a:blip r:embed="rId32"/>
                    <a:stretch>
                      <a:fillRect/>
                    </a:stretch>
                  </pic:blipFill>
                  <pic:spPr>
                    <a:xfrm>
                      <a:off x="0" y="0"/>
                      <a:ext cx="5577840" cy="532381"/>
                    </a:xfrm>
                    <a:prstGeom prst="rect"/>
                  </pic:spPr>
                </pic:pic>
              </a:graphicData>
            </a:graphic>
          </wp:inline>
        </w:drawing>
      </w:r>
    </w:p>
    <w:p>
      <w:pPr>
        <w:spacing w:after="160"/>
        <w:jc w:val="center"/>
      </w:pPr>
      <w:r>
        <w:rPr>
          <w:i/>
          <w:color w:val="666666"/>
          <w:sz w:val="18"/>
        </w:rPr>
        <w:t>Figure 4.2: Query-time retrieval and generation pipeline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jc w:val="center"/>
      </w:pPr>
      <w:r>
        <w:drawing>
          <wp:inline xmlns:a="http://schemas.openxmlformats.org/drawingml/2006/main" xmlns:pic="http://schemas.openxmlformats.org/drawingml/2006/picture">
            <wp:extent cx="5577840" cy="526990"/>
            <wp:docPr id="1724265422" name="Picture 1724265422"/>
            <wp:cNvGraphicFramePr>
              <a:graphicFrameLocks noChangeAspect="1"/>
            </wp:cNvGraphicFramePr>
            <a:graphic>
              <a:graphicData uri="http://schemas.openxmlformats.org/drawingml/2006/picture">
                <pic:pic>
                  <pic:nvPicPr>
                    <pic:cNvPr id="0" name="authentication-flow.png"/>
                    <pic:cNvPicPr/>
                  </pic:nvPicPr>
                  <pic:blipFill>
                    <a:blip r:embed="rId33"/>
                    <a:stretch>
                      <a:fillRect/>
                    </a:stretch>
                  </pic:blipFill>
                  <pic:spPr>
                    <a:xfrm>
                      <a:off x="0" y="0"/>
                      <a:ext cx="5577840" cy="526990"/>
                    </a:xfrm>
                    <a:prstGeom prst="rect"/>
                  </pic:spPr>
                </pic:pic>
              </a:graphicData>
            </a:graphic>
          </wp:inline>
        </w:drawing>
      </w:r>
    </w:p>
    <w:p>
      <w:pPr>
        <w:spacing w:after="160"/>
        <w:jc w:val="center"/>
      </w:pPr>
      <w:r>
        <w:rPr>
          <w:i/>
          <w:color w:val="666666"/>
          <w:sz w:val="18"/>
        </w:rPr>
        <w:t>Figure 4.3: Registration and login authentication flow</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jc w:val="center"/>
      </w:pPr>
      <w:r>
        <w:drawing>
          <wp:inline xmlns:a="http://schemas.openxmlformats.org/drawingml/2006/main" xmlns:pic="http://schemas.openxmlformats.org/drawingml/2006/picture">
            <wp:extent cx="5577840" cy="2809795"/>
            <wp:docPr id="1724265423" name="Picture 1724265423"/>
            <wp:cNvGraphicFramePr>
              <a:graphicFrameLocks noChangeAspect="1"/>
            </wp:cNvGraphicFramePr>
            <a:graphic>
              <a:graphicData uri="http://schemas.openxmlformats.org/drawingml/2006/picture">
                <pic:pic>
                  <pic:nvPicPr>
                    <pic:cNvPr id="0" name="backend-project-structure.png"/>
                    <pic:cNvPicPr/>
                  </pic:nvPicPr>
                  <pic:blipFill>
                    <a:blip r:embed="rId34"/>
                    <a:stretch>
                      <a:fillRect/>
                    </a:stretch>
                  </pic:blipFill>
                  <pic:spPr>
                    <a:xfrm>
                      <a:off x="0" y="0"/>
                      <a:ext cx="5577840" cy="2809795"/>
                    </a:xfrm>
                    <a:prstGeom prst="rect"/>
                  </pic:spPr>
                </pic:pic>
              </a:graphicData>
            </a:graphic>
          </wp:inline>
        </w:drawing>
      </w:r>
    </w:p>
    <w:p>
      <w:pPr>
        <w:spacing w:after="160"/>
        <w:jc w:val="center"/>
      </w:pPr>
      <w:r>
        <w:rPr>
          <w:i/>
          <w:color w:val="666666"/>
          <w:sz w:val="18"/>
        </w:rPr>
        <w:t>HARVIX backend project structure</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jc w:val="center"/>
      </w:pPr>
      <w:r>
        <w:drawing>
          <wp:inline xmlns:a="http://schemas.openxmlformats.org/drawingml/2006/main" xmlns:pic="http://schemas.openxmlformats.org/drawingml/2006/picture">
            <wp:extent cx="5577840" cy="4797067"/>
            <wp:docPr id="1724265424" name="Picture 1724265424"/>
            <wp:cNvGraphicFramePr>
              <a:graphicFrameLocks noChangeAspect="1"/>
            </wp:cNvGraphicFramePr>
            <a:graphic>
              <a:graphicData uri="http://schemas.openxmlformats.org/drawingml/2006/picture">
                <pic:pic>
                  <pic:nvPicPr>
                    <pic:cNvPr id="0" name="dashboard-screenshot.png"/>
                    <pic:cNvPicPr/>
                  </pic:nvPicPr>
                  <pic:blipFill>
                    <a:blip r:embed="rId35"/>
                    <a:stretch>
                      <a:fillRect/>
                    </a:stretch>
                  </pic:blipFill>
                  <pic:spPr>
                    <a:xfrm>
                      <a:off x="0" y="0"/>
                      <a:ext cx="5577840" cy="4797067"/>
                    </a:xfrm>
                    <a:prstGeom prst="rect"/>
                  </pic:spPr>
                </pic:pic>
              </a:graphicData>
            </a:graphic>
          </wp:inline>
        </w:drawing>
      </w:r>
    </w:p>
    <w:p>
      <w:pPr>
        <w:spacing w:after="160"/>
        <w:jc w:val="center"/>
      </w:pPr>
      <w:r>
        <w:t>Implementation screenshot: HARVIX dashboard interface</w:t>
      </w:r>
    </w:p>
    <w:p>
      <w:pPr>
        <w:jc w:val="center"/>
      </w:pPr>
      <w:r>
        <w:drawing>
          <wp:inline xmlns:a="http://schemas.openxmlformats.org/drawingml/2006/main" xmlns:pic="http://schemas.openxmlformats.org/drawingml/2006/picture">
            <wp:extent cx="5577840" cy="1720323"/>
            <wp:docPr id="1724265430" name="Picture 1724265430"/>
            <wp:cNvGraphicFramePr>
              <a:graphicFrameLocks noChangeAspect="1"/>
            </wp:cNvGraphicFramePr>
            <a:graphic>
              <a:graphicData uri="http://schemas.openxmlformats.org/drawingml/2006/picture">
                <pic:pic>
                  <pic:nvPicPr>
                    <pic:cNvPr id="0" name="api-output-screenshot.png"/>
                    <pic:cNvPicPr/>
                  </pic:nvPicPr>
                  <pic:blipFill>
                    <a:blip r:embed="rId41"/>
                    <a:stretch>
                      <a:fillRect/>
                    </a:stretch>
                  </pic:blipFill>
                  <pic:spPr>
                    <a:xfrm>
                      <a:off x="0" y="0"/>
                      <a:ext cx="5577840" cy="1720323"/>
                    </a:xfrm>
                    <a:prstGeom prst="rect"/>
                  </pic:spPr>
                </pic:pic>
              </a:graphicData>
            </a:graphic>
          </wp:inline>
        </w:drawing>
      </w:r>
    </w:p>
    <w:p>
      <w:pPr>
        <w:jc w:val="center"/>
      </w:pPr>
      <w:r>
        <w:rPr>
          <w:i/>
        </w:rPr>
        <w:t>Output screenshot: HARVIX API functional test results</w:t>
      </w:r>
    </w:p>
    <w:p>
      <w:pPr>
        <w:jc w:val="center"/>
      </w:pPr>
      <w:r>
        <w:drawing>
          <wp:inline xmlns:a="http://schemas.openxmlformats.org/drawingml/2006/main" xmlns:pic="http://schemas.openxmlformats.org/drawingml/2006/picture">
            <wp:extent cx="5577840" cy="3478811"/>
            <wp:docPr id="1724265431" name="Picture 1724265431"/>
            <wp:cNvGraphicFramePr>
              <a:graphicFrameLocks noChangeAspect="1"/>
            </wp:cNvGraphicFramePr>
            <a:graphic>
              <a:graphicData uri="http://schemas.openxmlformats.org/drawingml/2006/picture">
                <pic:pic>
                  <pic:nvPicPr>
                    <pic:cNvPr id="0" name="backend-code-screenshot.png"/>
                    <pic:cNvPicPr/>
                  </pic:nvPicPr>
                  <pic:blipFill>
                    <a:blip r:embed="rId42"/>
                    <a:stretch>
                      <a:fillRect/>
                    </a:stretch>
                  </pic:blipFill>
                  <pic:spPr>
                    <a:xfrm>
                      <a:off x="0" y="0"/>
                      <a:ext cx="5577840" cy="3478811"/>
                    </a:xfrm>
                    <a:prstGeom prst="rect"/>
                  </pic:spPr>
                </pic:pic>
              </a:graphicData>
            </a:graphic>
          </wp:inline>
        </w:drawing>
      </w:r>
    </w:p>
    <w:p>
      <w:pPr>
        <w:jc w:val="center"/>
      </w:pPr>
      <w:r>
        <w:rPr>
          <w:i/>
        </w:rPr>
        <w:t>Code screenshot: FastAPI and SymPy backend implementation</w:t>
      </w:r>
    </w:p>
    <w:p>
      <w:pPr>
        <w:pStyle w:val="BodyText"/>
        <w:spacing w:after="140" w:line="276" w:lineRule="auto"/>
      </w:pPr>
      <w:r>
        <w:t>The website layout was designed as a focused workspace rather than a conventional multi-page application. The left navigation area provides the HARVIX identity, new-conversation control, workspace modes, and recent chats. The main area provides the conversation context and message composer. This arrangement keeps the most frequently used actions visible while leaving sufficient space for code and mathematical explanations.</w:t>
      </w:r>
    </w:p>
    <w:p>
      <w:pPr>
        <w:pStyle w:val="BodyText"/>
        <w:spacing w:after="140" w:line="276" w:lineRule="auto"/>
      </w:pPr>
      <w:r>
        <w:t>The dashboard also communicates service state to the user. Loading feedback is displayed while a request is being processed, response timing is returned by the backend, and controlled error messages are shown when an expression cannot be parsed. These small interaction details help users distinguish a slow request, an invalid input, and a successful answer.</w:t>
      </w:r>
    </w:p>
    <w:p>
      <w:pPr>
        <w:pStyle w:val="BodyText"/>
        <w:spacing w:after="140" w:line="276" w:lineRule="auto"/>
      </w:pPr>
      <w:r>
        <w:t>The Math mode is connected to the SymPy processing layer rather than treating the language model as a calculator. Expressions are parsed with transformations that support implicit multiplication and caret-style powers. Equation solving, simplification, differentiation, and integration return a structured result, a list of processing steps, and a verification flag. This design makes the mathematical behavior easier to test and explain.</w:t>
      </w:r>
    </w:p>
    <w:p>
      <w:pPr>
        <w:pStyle w:val="BodyText"/>
        <w:spacing w:after="140" w:line="276" w:lineRule="auto"/>
      </w:pPr>
      <w:r>
        <w:t>The Coding mode provides a focused workspace for software-development questions. A user can request a new code example, ask for an explanation of an existing function, describe an error, or request a refactoring or language conversion. In the current local mode, HARVIX returns a safe guidance response; when an OpenAI-compatible provider is configured, the same request can receive a richer generated answer without changing the dashboard.</w:t>
      </w:r>
    </w:p>
    <w:p>
      <w:pPr>
        <w:pStyle w:val="BodyText"/>
        <w:spacing w:after="140" w:line="276" w:lineRule="auto"/>
      </w:pPr>
      <w:r>
        <w:t>The Auto mode is designed for convenience. It examines the wording of the request and identifies common mathematics and programming indicators. Terms such as equation, derivative, integral, solve, or calculate are directed toward the mathematics path, while language names, debugging terms, code blocks, and programming concepts are directed toward the coding path. Requests that do not match either category use the general response path.</w:t>
      </w:r>
    </w:p>
    <w:p>
      <w:pPr>
        <w:pStyle w:val="BodyText"/>
        <w:spacing w:after="140" w:line="276" w:lineRule="auto"/>
      </w:pPr>
      <w:r>
        <w:t>The frontend and backend communicate through a small set of JSON REST calls. When the user submits a prompt, the dashboard sends the message, selected mode, and recent history to the chat endpoint. The backend validates the payload before routing the request. This separation keeps the interface responsive and allows the service to be tested independently from the browser.</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Pr>
                <w:sz w:val="17"/>
              </w:rPr>
              <w:t>Endpoint</w:t>
            </w:r>
          </w:p>
        </w:tc>
        <w:tc>
          <w:tcPr>
            <w:tcW w:type="dxa" w:w="3240"/>
            <w:vAlign w:val="center"/>
            <w:shd w:fill="17365D"/>
          </w:tcPr>
          <w:p>
            <w:pPr>
              <w:spacing w:after="0"/>
            </w:pPr>
            <w:r>
              <w:rPr>
                <w:sz w:val="17"/>
              </w:rPr>
              <w:t>Method</w:t>
            </w:r>
          </w:p>
        </w:tc>
        <w:tc>
          <w:tcPr>
            <w:tcW w:type="dxa" w:w="3240"/>
            <w:vAlign w:val="center"/>
            <w:shd w:fill="17365D"/>
          </w:tcPr>
          <w:p>
            <w:pPr>
              <w:spacing w:after="0"/>
            </w:pPr>
            <w:r>
              <w:rPr>
                <w:sz w:val="17"/>
              </w:rPr>
              <w:t>HARVIX Function</w:t>
            </w:r>
          </w:p>
        </w:tc>
      </w:tr>
      <w:tr>
        <w:tc>
          <w:tcPr>
            <w:tcW w:type="dxa" w:w="3240"/>
          </w:tcPr>
          <w:p>
            <w:pPr>
              <w:spacing w:after="0"/>
            </w:pPr>
            <w:r>
              <w:rPr>
                <w:sz w:val="17"/>
              </w:rPr>
              <w:t>/api/health</w:t>
            </w:r>
          </w:p>
        </w:tc>
        <w:tc>
          <w:tcPr>
            <w:tcW w:type="dxa" w:w="3240"/>
          </w:tcPr>
          <w:p>
            <w:pPr>
              <w:spacing w:after="0"/>
            </w:pPr>
            <w:r>
              <w:rPr>
                <w:sz w:val="17"/>
              </w:rPr>
              <w:t>GET</w:t>
            </w:r>
          </w:p>
        </w:tc>
        <w:tc>
          <w:tcPr>
            <w:tcW w:type="dxa" w:w="3240"/>
          </w:tcPr>
          <w:p>
            <w:pPr>
              <w:spacing w:after="0"/>
            </w:pPr>
            <w:r>
              <w:rPr>
                <w:sz w:val="17"/>
              </w:rPr>
              <w:t>Returns service status, service name and timestamp for operational monitoring</w:t>
            </w:r>
          </w:p>
        </w:tc>
      </w:tr>
      <w:tr>
        <w:tc>
          <w:tcPr>
            <w:tcW w:type="dxa" w:w="3240"/>
          </w:tcPr>
          <w:p>
            <w:pPr>
              <w:spacing w:after="0"/>
            </w:pPr>
            <w:r>
              <w:rPr>
                <w:sz w:val="17"/>
              </w:rPr>
              <w:t>/api/chat</w:t>
            </w:r>
          </w:p>
        </w:tc>
        <w:tc>
          <w:tcPr>
            <w:tcW w:type="dxa" w:w="3240"/>
          </w:tcPr>
          <w:p>
            <w:pPr>
              <w:spacing w:after="0"/>
            </w:pPr>
            <w:r>
              <w:rPr>
                <w:sz w:val="17"/>
              </w:rPr>
              <w:t>POST</w:t>
            </w:r>
          </w:p>
        </w:tc>
        <w:tc>
          <w:tcPr>
            <w:tcW w:type="dxa" w:w="3240"/>
          </w:tcPr>
          <w:p>
            <w:pPr>
              <w:spacing w:after="0"/>
            </w:pPr>
            <w:r>
              <w:rPr>
                <w:sz w:val="17"/>
              </w:rPr>
              <w:t>Validates a message, detects intent, returns reply, mode, elapsed_ms and sources</w:t>
            </w:r>
          </w:p>
        </w:tc>
      </w:tr>
      <w:tr>
        <w:tc>
          <w:tcPr>
            <w:tcW w:type="dxa" w:w="3240"/>
          </w:tcPr>
          <w:p>
            <w:pPr>
              <w:spacing w:after="0"/>
            </w:pPr>
            <w:r>
              <w:rPr>
                <w:sz w:val="17"/>
              </w:rPr>
              <w:t>/api/math</w:t>
            </w:r>
          </w:p>
        </w:tc>
        <w:tc>
          <w:tcPr>
            <w:tcW w:type="dxa" w:w="3240"/>
          </w:tcPr>
          <w:p>
            <w:pPr>
              <w:spacing w:after="0"/>
            </w:pPr>
            <w:r>
              <w:rPr>
                <w:sz w:val="17"/>
              </w:rPr>
              <w:t>POST</w:t>
            </w:r>
          </w:p>
        </w:tc>
        <w:tc>
          <w:tcPr>
            <w:tcW w:type="dxa" w:w="3240"/>
          </w:tcPr>
          <w:p>
            <w:pPr>
              <w:spacing w:after="0"/>
            </w:pPr>
            <w:r>
              <w:rPr>
                <w:sz w:val="17"/>
              </w:rPr>
              <w:t>Parses an expression and returns symbolic result, processing steps and verified flag</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jc w:val="center"/>
      </w:pPr>
      <w:r>
        <w:drawing>
          <wp:inline xmlns:a="http://schemas.openxmlformats.org/drawingml/2006/main" xmlns:pic="http://schemas.openxmlformats.org/drawingml/2006/picture">
            <wp:extent cx="5577840" cy="12071018"/>
            <wp:docPr id="1724265427" name="Picture 1724265427"/>
            <wp:cNvGraphicFramePr>
              <a:graphicFrameLocks noChangeAspect="1"/>
            </wp:cNvGraphicFramePr>
            <a:graphic>
              <a:graphicData uri="http://schemas.openxmlformats.org/drawingml/2006/picture">
                <pic:pic>
                  <pic:nvPicPr>
                    <pic:cNvPr id="0" name="website-mobile-screenshot.png"/>
                    <pic:cNvPicPr/>
                  </pic:nvPicPr>
                  <pic:blipFill>
                    <a:blip r:embed="rId38"/>
                    <a:stretch>
                      <a:fillRect/>
                    </a:stretch>
                  </pic:blipFill>
                  <pic:spPr>
                    <a:xfrm>
                      <a:off x="0" y="0"/>
                      <a:ext cx="5577840" cy="12071018"/>
                    </a:xfrm>
                    <a:prstGeom prst="rect"/>
                  </pic:spPr>
                </pic:pic>
              </a:graphicData>
            </a:graphic>
          </wp:inline>
        </w:drawing>
      </w:r>
    </w:p>
    <w:p>
      <w:pPr>
        <w:jc w:val="center"/>
      </w:pPr>
      <w:r>
        <w:rPr>
          <w:i/>
          <w:sz w:val="18"/>
        </w:rPr>
        <w:t>Website implementation screenshot: responsive mobile layout</w:t>
      </w:r>
    </w:p>
    <w:p>
      <w:pPr>
        <w:jc w:val="center"/>
      </w:pPr>
      <w:r>
        <w:drawing>
          <wp:inline xmlns:a="http://schemas.openxmlformats.org/drawingml/2006/main" xmlns:pic="http://schemas.openxmlformats.org/drawingml/2006/picture">
            <wp:extent cx="5577840" cy="3873500"/>
            <wp:docPr id="1724265428" name="Picture 1724265428"/>
            <wp:cNvGraphicFramePr>
              <a:graphicFrameLocks noChangeAspect="1"/>
            </wp:cNvGraphicFramePr>
            <a:graphic>
              <a:graphicData uri="http://schemas.openxmlformats.org/drawingml/2006/picture">
                <pic:pic>
                  <pic:nvPicPr>
                    <pic:cNvPr id="0" name="website-desktop-screenshot.png"/>
                    <pic:cNvPicPr/>
                  </pic:nvPicPr>
                  <pic:blipFill>
                    <a:blip r:embed="rId39"/>
                    <a:stretch>
                      <a:fillRect/>
                    </a:stretch>
                  </pic:blipFill>
                  <pic:spPr>
                    <a:xfrm>
                      <a:off x="0" y="0"/>
                      <a:ext cx="5577840" cy="3873500"/>
                    </a:xfrm>
                    <a:prstGeom prst="rect"/>
                  </pic:spPr>
                </pic:pic>
              </a:graphicData>
            </a:graphic>
          </wp:inline>
        </w:drawing>
      </w:r>
    </w:p>
    <w:p>
      <w:pPr>
        <w:jc w:val="center"/>
      </w:pPr>
      <w:r>
        <w:rPr>
          <w:i/>
          <w:sz w:val="18"/>
        </w:rPr>
        <w:t>Website implementation screenshot: desktop dashboard layout</w:t>
      </w:r>
    </w:p>
    <w:p>
      <w:pPr>
        <w:pStyle w:val="BodyText"/>
        <w:spacing w:after="140"/>
      </w:pPr>
      <w:r>
        <w:t>The responsive comparison below presents the same HARVIX website at desktop and mobile dimensions. It shows that the core workspace identity, navigation options, assistant content, and message composer remain consistent while the available layout width changes. This comparison provides additional website-level evidence for the responsive design described in the implementation methodology.</w:t>
      </w:r>
    </w:p>
    <w:p>
      <w:pPr>
        <w:jc w:val="center"/>
      </w:pPr>
      <w:r>
        <w:drawing>
          <wp:inline xmlns:a="http://schemas.openxmlformats.org/drawingml/2006/main" xmlns:pic="http://schemas.openxmlformats.org/drawingml/2006/picture">
            <wp:extent cx="5577840" cy="3421280"/>
            <wp:docPr id="1724265429" name="Picture 1724265429"/>
            <wp:cNvGraphicFramePr>
              <a:graphicFrameLocks noChangeAspect="1"/>
            </wp:cNvGraphicFramePr>
            <a:graphic>
              <a:graphicData uri="http://schemas.openxmlformats.org/drawingml/2006/picture">
                <pic:pic>
                  <pic:nvPicPr>
                    <pic:cNvPr id="0" name="website-responsive-comparison.png"/>
                    <pic:cNvPicPr/>
                  </pic:nvPicPr>
                  <pic:blipFill>
                    <a:blip r:embed="rId40"/>
                    <a:stretch>
                      <a:fillRect/>
                    </a:stretch>
                  </pic:blipFill>
                  <pic:spPr>
                    <a:xfrm>
                      <a:off x="0" y="0"/>
                      <a:ext cx="5577840" cy="3421280"/>
                    </a:xfrm>
                    <a:prstGeom prst="rect"/>
                  </pic:spPr>
                </pic:pic>
              </a:graphicData>
            </a:graphic>
          </wp:inline>
        </w:drawing>
      </w:r>
    </w:p>
    <w:p>
      <w:pPr>
        <w:jc w:val="center"/>
      </w:pPr>
      <w:r>
        <w:rPr>
          <w:i/>
          <w:sz w:val="18"/>
        </w:rPr>
        <w:t>Website responsive comparison: desktop and mobile HARVIX layouts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pPr>
        <w:pStyle w:val="BodyText"/>
        <w:spacing w:after="140" w:line="276" w:lineRule="auto"/>
      </w:pPr>
      <w:r>
        <w:t>The validation process has practical limitations. It confirms endpoint behavior and visual rendering for the implemented features, but it does not claim that arbitrary user code is safe to execute, that a language-model response is always correct, or that the future authentication and document-retrieval modules are already available. The report therefore distinguishes tested current features from clearly identified future extensions.</w:t>
      </w:r>
    </w:p>
    <w:p>
      <w:pPr>
        <w:pStyle w:val="BodyText"/>
        <w:spacing w:after="140" w:line="276" w:lineRule="auto"/>
      </w:pPr>
      <w:r>
        <w:t>The application is also prepared for repeatable delivery. Python dependencies are listed in requirements.txt, the frontend has a production build command, Docker configuration supports container execution, and GitHub Actions runs automated validation after repository changes. These practices reduce the chance that a locally working interface will fail when the project is cloned, tested, or deployed in another environment.</w:t>
      </w:r>
    </w:p>
    <w:p>
      <w:pPr>
        <w:pStyle w:val="BodyText"/>
        <w:spacing w:after="140" w:line="276" w:lineRule="auto"/>
      </w:pPr>
      <w:r>
        <w:t>The source-code screenshot documents the central backend implementation used by the project. It shows the FastAPI application declaration, CORS configuration, Pydantic request models, SymPy imports, intent-routing function, and service endpoints. Including the source excerpt makes the report traceable: the screenshots show the user-facing result, while the code image shows how the result is produced.</w:t>
      </w:r>
    </w:p>
    <w:p>
      <w:pPr>
        <w:pStyle w:val="BodyText"/>
        <w:spacing w:after="140" w:line="276" w:lineRule="auto"/>
      </w:pPr>
      <w:r>
        <w:t>The mathematics output was checked using the quadratic expression 2*x^2 - 5*x + 3 = 0. The service returned the symbolic roots 1 and 3/2, a set of processing steps, and a verified flag. A coding request such as “Debug this Python function” was automatically classified as coding. The API output screenshot included in this report records these successful responses as implementation evidence.</w:t>
      </w:r>
    </w:p>
    <w:p>
      <w:pPr>
        <w:pStyle w:val="BodyText"/>
        <w:spacing w:after="140" w:line="276" w:lineRule="auto"/>
      </w:pPr>
      <w:r>
        <w:t>The implementation was validated at the interface level and at the service level. At the interface level, the dashboard was opened in Chromium at desktop and mobile dimensions and checked for visible navigation, message content, mode controls, prompt suggestions, and the composer. At the service level, the health endpoint, mathematics endpoint, and chat endpoint were called independently. The two validation layers help identify whether a problem belongs to the browser presentation or to the backend response.</w:t>
      </w:r>
    </w:p>
    <w:p>
      <w:pPr>
        <w:pStyle w:val="BodyText"/>
        <w:spacing w:after="140" w:line="276" w:lineRule="auto"/>
      </w:pPr>
      <w:r>
        <w:t>The mobile website view demonstrates responsive behavior at a narrow viewport. The navigation remains accessible, the main conversation area is allowed to occupy the available width, and the composer remains visible near the bottom of the workspace. Responsive behavior is important because students may access the assistant from a phone while reviewing a formula, testing a code idea, or checking an API response.</w:t>
      </w:r>
    </w:p>
    <w:p>
      <w:pPr>
        <w:pStyle w:val="BodyText"/>
        <w:spacing w:after="140" w:line="276" w:lineRule="auto"/>
      </w:pPr>
      <w:r>
        <w:t>The desktop website view demonstrates the complete workspace composition. The navigation rail exposes the Chat, Coding mode, and Math solver entries, while the central panel contains the assistant greeting, suggested actions, mode selector, and message composer. A status indicator confirms that the local API is operational. The consistent dark visual system, rounded panels, and restrained accent colors are intended to reduce distraction during technical work.</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Pr>
                <w:sz w:val="17"/>
              </w:rPr>
              <w:t>Test Case</w:t>
            </w:r>
          </w:p>
        </w:tc>
        <w:tc>
          <w:tcPr>
            <w:tcW w:type="dxa" w:w="2430"/>
            <w:vAlign w:val="center"/>
            <w:shd w:fill="17365D"/>
          </w:tcPr>
          <w:p>
            <w:pPr>
              <w:spacing w:after="0"/>
            </w:pPr>
            <w:r>
              <w:rPr>
                <w:sz w:val="17"/>
              </w:rPr>
              <w:t>Input / Action</w:t>
            </w:r>
          </w:p>
        </w:tc>
        <w:tc>
          <w:tcPr>
            <w:tcW w:type="dxa" w:w="2430"/>
            <w:vAlign w:val="center"/>
            <w:shd w:fill="17365D"/>
          </w:tcPr>
          <w:p>
            <w:pPr>
              <w:spacing w:after="0"/>
            </w:pPr>
            <w:r>
              <w:rPr>
                <w:sz w:val="17"/>
              </w:rPr>
              <w:t>Expected Output</w:t>
            </w:r>
          </w:p>
        </w:tc>
        <w:tc>
          <w:tcPr>
            <w:tcW w:type="dxa" w:w="2430"/>
            <w:vAlign w:val="center"/>
            <w:shd w:fill="17365D"/>
          </w:tcPr>
          <w:p>
            <w:pPr>
              <w:spacing w:after="0"/>
            </w:pPr>
            <w:r>
              <w:rPr>
                <w:sz w:val="17"/>
              </w:rPr>
              <w:t>Result</w:t>
            </w:r>
          </w:p>
        </w:tc>
      </w:tr>
      <w:tr>
        <w:tc>
          <w:tcPr>
            <w:tcW w:type="dxa" w:w="2430"/>
          </w:tcPr>
          <w:p>
            <w:pPr>
              <w:spacing w:after="0"/>
            </w:pPr>
            <w:r>
              <w:rPr>
                <w:sz w:val="17"/>
              </w:rPr>
              <w:t>Health endpoint</w:t>
            </w:r>
          </w:p>
        </w:tc>
        <w:tc>
          <w:tcPr>
            <w:tcW w:type="dxa" w:w="2430"/>
          </w:tcPr>
          <w:p>
            <w:pPr>
              <w:spacing w:after="0"/>
            </w:pPr>
            <w:r>
              <w:rPr>
                <w:sz w:val="17"/>
              </w:rPr>
              <w:t>GET /api/health</w:t>
            </w:r>
          </w:p>
        </w:tc>
        <w:tc>
          <w:tcPr>
            <w:tcW w:type="dxa" w:w="2430"/>
          </w:tcPr>
          <w:p>
            <w:pPr>
              <w:spacing w:after="0"/>
            </w:pPr>
            <w:r>
              <w:rPr>
                <w:sz w:val="17"/>
              </w:rPr>
              <w:t>HTTP 200 and status = ok</w:t>
            </w:r>
          </w:p>
        </w:tc>
        <w:tc>
          <w:tcPr>
            <w:tcW w:type="dxa" w:w="2430"/>
          </w:tcPr>
          <w:p>
            <w:pPr>
              <w:spacing w:after="0"/>
            </w:pPr>
            <w:r>
              <w:rPr>
                <w:sz w:val="17"/>
              </w:rPr>
              <w:t>Pass</w:t>
            </w:r>
          </w:p>
        </w:tc>
      </w:tr>
      <w:tr>
        <w:tc>
          <w:tcPr>
            <w:tcW w:type="dxa" w:w="2430"/>
          </w:tcPr>
          <w:p>
            <w:pPr>
              <w:spacing w:after="0"/>
            </w:pPr>
            <w:r>
              <w:rPr>
                <w:sz w:val="17"/>
              </w:rPr>
              <w:t>Quadratic equation</w:t>
            </w:r>
          </w:p>
        </w:tc>
        <w:tc>
          <w:tcPr>
            <w:tcW w:type="dxa" w:w="2430"/>
          </w:tcPr>
          <w:p>
            <w:pPr>
              <w:spacing w:after="0"/>
            </w:pPr>
            <w:r>
              <w:rPr>
                <w:sz w:val="17"/>
              </w:rPr>
              <w:t>2*x^2 - 5*x + 3 = 0</w:t>
            </w:r>
          </w:p>
        </w:tc>
        <w:tc>
          <w:tcPr>
            <w:tcW w:type="dxa" w:w="2430"/>
          </w:tcPr>
          <w:p>
            <w:pPr>
              <w:spacing w:after="0"/>
            </w:pPr>
            <w:r>
              <w:rPr>
                <w:sz w:val="17"/>
              </w:rPr>
              <w:t>Roots include 1 and 3/2</w:t>
            </w:r>
          </w:p>
        </w:tc>
        <w:tc>
          <w:tcPr>
            <w:tcW w:type="dxa" w:w="2430"/>
          </w:tcPr>
          <w:p>
            <w:pPr>
              <w:spacing w:after="0"/>
            </w:pPr>
            <w:r>
              <w:rPr>
                <w:sz w:val="17"/>
              </w:rPr>
              <w:t>Pass</w:t>
            </w:r>
          </w:p>
        </w:tc>
      </w:tr>
      <w:tr>
        <w:tc>
          <w:tcPr>
            <w:tcW w:type="dxa" w:w="2430"/>
          </w:tcPr>
          <w:p>
            <w:pPr>
              <w:spacing w:after="0"/>
            </w:pPr>
            <w:r>
              <w:rPr>
                <w:sz w:val="17"/>
              </w:rPr>
              <w:t>Mathematical derivative</w:t>
            </w:r>
          </w:p>
        </w:tc>
        <w:tc>
          <w:tcPr>
            <w:tcW w:type="dxa" w:w="2430"/>
          </w:tcPr>
          <w:p>
            <w:pPr>
              <w:spacing w:after="0"/>
            </w:pPr>
            <w:r>
              <w:rPr>
                <w:sz w:val="17"/>
              </w:rPr>
              <w:t>operation = derivative, x^3</w:t>
            </w:r>
          </w:p>
        </w:tc>
        <w:tc>
          <w:tcPr>
            <w:tcW w:type="dxa" w:w="2430"/>
          </w:tcPr>
          <w:p>
            <w:pPr>
              <w:spacing w:after="0"/>
            </w:pPr>
            <w:r>
              <w:rPr>
                <w:sz w:val="17"/>
              </w:rPr>
              <w:t>Symbolic derivative 3*x**2</w:t>
            </w:r>
          </w:p>
        </w:tc>
        <w:tc>
          <w:tcPr>
            <w:tcW w:type="dxa" w:w="2430"/>
          </w:tcPr>
          <w:p>
            <w:pPr>
              <w:spacing w:after="0"/>
            </w:pPr>
            <w:r>
              <w:rPr>
                <w:sz w:val="17"/>
              </w:rPr>
              <w:t>Pass</w:t>
            </w:r>
          </w:p>
        </w:tc>
      </w:tr>
      <w:tr>
        <w:tc>
          <w:tcPr>
            <w:tcW w:type="dxa" w:w="2430"/>
          </w:tcPr>
          <w:p>
            <w:pPr>
              <w:spacing w:after="0"/>
            </w:pPr>
            <w:r>
              <w:rPr>
                <w:sz w:val="17"/>
              </w:rPr>
              <w:t>Coding intent route</w:t>
            </w:r>
          </w:p>
        </w:tc>
        <w:tc>
          <w:tcPr>
            <w:tcW w:type="dxa" w:w="2430"/>
          </w:tcPr>
          <w:p>
            <w:pPr>
              <w:spacing w:after="0"/>
            </w:pPr>
            <w:r>
              <w:rPr>
                <w:sz w:val="17"/>
              </w:rPr>
              <w:t>Debug this Python function in Auto mode</w:t>
            </w:r>
          </w:p>
        </w:tc>
        <w:tc>
          <w:tcPr>
            <w:tcW w:type="dxa" w:w="2430"/>
          </w:tcPr>
          <w:p>
            <w:pPr>
              <w:spacing w:after="0"/>
            </w:pPr>
            <w:r>
              <w:rPr>
                <w:sz w:val="17"/>
              </w:rPr>
              <w:t>Response mode = coding</w:t>
            </w:r>
          </w:p>
        </w:tc>
        <w:tc>
          <w:tcPr>
            <w:tcW w:type="dxa" w:w="2430"/>
          </w:tcPr>
          <w:p>
            <w:pPr>
              <w:spacing w:after="0"/>
            </w:pPr>
            <w:r>
              <w:rPr>
                <w:sz w:val="17"/>
              </w:rPr>
              <w:t>Pass</w:t>
            </w:r>
          </w:p>
        </w:tc>
      </w:tr>
      <w:tr>
        <w:tc>
          <w:tcPr>
            <w:tcW w:type="dxa" w:w="2430"/>
          </w:tcPr>
          <w:p>
            <w:pPr>
              <w:spacing w:after="0"/>
            </w:pPr>
            <w:r>
              <w:rPr>
                <w:sz w:val="17"/>
              </w:rPr>
              <w:t>Invalid math input</w:t>
            </w:r>
          </w:p>
        </w:tc>
        <w:tc>
          <w:tcPr>
            <w:tcW w:type="dxa" w:w="2430"/>
          </w:tcPr>
          <w:p>
            <w:pPr>
              <w:spacing w:after="0"/>
            </w:pPr>
            <w:r>
              <w:rPr>
                <w:sz w:val="17"/>
              </w:rPr>
              <w:t>Malformed symbolic expression</w:t>
            </w:r>
          </w:p>
        </w:tc>
        <w:tc>
          <w:tcPr>
            <w:tcW w:type="dxa" w:w="2430"/>
          </w:tcPr>
          <w:p>
            <w:pPr>
              <w:spacing w:after="0"/>
            </w:pPr>
            <w:r>
              <w:rPr>
                <w:sz w:val="17"/>
              </w:rPr>
              <w:t>Controlled HTTP 400 error</w:t>
            </w:r>
          </w:p>
        </w:tc>
        <w:tc>
          <w:tcPr>
            <w:tcW w:type="dxa" w:w="2430"/>
          </w:tcPr>
          <w:p>
            <w:pPr>
              <w:spacing w:after="0"/>
            </w:pPr>
            <w:r>
              <w:rPr>
                <w:sz w:val="17"/>
              </w:rPr>
              <w:t>Pass</w:t>
            </w:r>
          </w:p>
        </w:tc>
      </w:tr>
      <w:tr>
        <w:tc>
          <w:tcPr>
            <w:tcW w:type="dxa" w:w="2430"/>
          </w:tcPr>
          <w:p>
            <w:pPr>
              <w:spacing w:after="0"/>
            </w:pPr>
            <w:r>
              <w:rPr>
                <w:sz w:val="17"/>
              </w:rPr>
              <w:t>Dashboard build</w:t>
            </w:r>
          </w:p>
        </w:tc>
        <w:tc>
          <w:tcPr>
            <w:tcW w:type="dxa" w:w="2430"/>
          </w:tcPr>
          <w:p>
            <w:pPr>
              <w:spacing w:after="0"/>
            </w:pPr>
            <w:r>
              <w:rPr>
                <w:sz w:val="17"/>
              </w:rPr>
              <w:t>npm run build</w:t>
            </w:r>
          </w:p>
        </w:tc>
        <w:tc>
          <w:tcPr>
            <w:tcW w:type="dxa" w:w="2430"/>
          </w:tcPr>
          <w:p>
            <w:pPr>
              <w:spacing w:after="0"/>
            </w:pPr>
            <w:r>
              <w:rPr>
                <w:sz w:val="17"/>
              </w:rPr>
              <w:t>Production frontend assets generated</w:t>
            </w:r>
          </w:p>
        </w:tc>
        <w:tc>
          <w:tcPr>
            <w:tcW w:type="dxa" w:w="2430"/>
          </w:tcPr>
          <w:p>
            <w:pPr>
              <w:spacing w:after="0"/>
            </w:pPr>
            <w:r>
              <w:rPr>
                <w:sz w:val="17"/>
              </w:rPr>
              <w:t>Pass</w:t>
            </w:r>
          </w:p>
        </w:tc>
      </w:tr>
      <w:tr>
        <w:tc>
          <w:tcPr>
            <w:tcW w:type="dxa" w:w="2430"/>
          </w:tcPr>
          <w:p>
            <w:pPr>
              <w:spacing w:after="0"/>
            </w:pPr>
            <w:r>
              <w:rPr>
                <w:sz w:val="17"/>
              </w:rPr>
              <w:t>Responsive website</w:t>
            </w:r>
          </w:p>
        </w:tc>
        <w:tc>
          <w:tcPr>
            <w:tcW w:type="dxa" w:w="2430"/>
          </w:tcPr>
          <w:p>
            <w:pPr>
              <w:spacing w:after="0"/>
            </w:pPr>
            <w:r>
              <w:rPr>
                <w:sz w:val="17"/>
              </w:rPr>
              <w:t>Desktop and mobile browser views</w:t>
            </w:r>
          </w:p>
        </w:tc>
        <w:tc>
          <w:tcPr>
            <w:tcW w:type="dxa" w:w="2430"/>
          </w:tcPr>
          <w:p>
            <w:pPr>
              <w:spacing w:after="0"/>
            </w:pPr>
            <w:r>
              <w:rPr>
                <w:sz w:val="17"/>
              </w:rPr>
              <w:t>Navigation and composer remain visible</w:t>
            </w:r>
          </w:p>
        </w:tc>
        <w:tc>
          <w:tcPr>
            <w:tcW w:type="dxa" w:w="2430"/>
          </w:tcPr>
          <w:p>
            <w:pPr>
              <w:spacing w:after="0"/>
            </w:pPr>
            <w:r>
              <w:rPr>
                <w:sz w:val="17"/>
              </w:rPr>
              <w:t>Pass</w:t>
            </w:r>
          </w:p>
        </w:tc>
      </w:tr>
      <w:tr>
        <w:tc>
          <w:tcPr>
            <w:tcW w:type="dxa" w:w="2430"/>
          </w:tcPr>
          <w:p>
            <w:pPr>
              <w:spacing w:after="0"/>
            </w:pPr>
            <w:r>
              <w:rPr>
                <w:sz w:val="17"/>
              </w:rPr>
              <w:t>Continuous integration</w:t>
            </w:r>
          </w:p>
        </w:tc>
        <w:tc>
          <w:tcPr>
            <w:tcW w:type="dxa" w:w="2430"/>
          </w:tcPr>
          <w:p>
            <w:pPr>
              <w:spacing w:after="0"/>
            </w:pPr>
            <w:r>
              <w:rPr>
                <w:sz w:val="17"/>
              </w:rPr>
              <w:t>Push to main branch</w:t>
            </w:r>
          </w:p>
        </w:tc>
        <w:tc>
          <w:tcPr>
            <w:tcW w:type="dxa" w:w="2430"/>
          </w:tcPr>
          <w:p>
            <w:pPr>
              <w:spacing w:after="0"/>
            </w:pPr>
            <w:r>
              <w:rPr>
                <w:sz w:val="17"/>
              </w:rPr>
              <w:t>Automated tests and build complete</w:t>
            </w:r>
          </w:p>
        </w:tc>
        <w:tc>
          <w:tcPr>
            <w:tcW w:type="dxa" w:w="2430"/>
          </w:tcPr>
          <w:p>
            <w:pPr>
              <w:spacing w:after="0"/>
            </w:pPr>
            <w:r>
              <w:rPr>
                <w:sz w:val="17"/>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