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rPr>
          <w:b/>
          <w:sz w:val="24"/>
        </w:rPr>
        <w:t>MOHANESWARI</w:t>
      </w:r>
      <w:r>
        <w:rPr>
          <w:b/>
          <w:spacing w:val="-8"/>
          <w:sz w:val="24"/>
        </w:rPr>
        <w:t xml:space="preserve"> </w:t>
      </w:r>
      <w:r>
        <w:rPr>
          <w:b/>
          <w:sz w:val="24"/>
        </w:rPr>
        <w:t>P</w:t>
      </w:r>
      <w:r>
        <w:rPr>
          <w:b/>
          <w:spacing w:val="-10"/>
          <w:sz w:val="24"/>
        </w:rPr>
        <w:t xml:space="preserve"> </w:t>
      </w:r>
      <w:r>
        <w:rPr>
          <w:spacing w:val="-2"/>
        </w:rPr>
        <w:t>(711724UCB128)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proofErr w:type="spellStart"/>
      <w:r>
        <w:rPr>
          <w:color w:val="12213D"/>
          <w:sz w:val="28"/>
        </w:rPr>
        <w:t>bonafide</w:t>
      </w:r>
      <w:proofErr w:type="spellEnd"/>
      <w:r>
        <w:rPr>
          <w:color w:val="12213D"/>
          <w:sz w:val="28"/>
        </w:rPr>
        <w:t xml:space="preserve"> record of the internship work carried out by MOHANESWARI P, in partial fulfilment of the requirements for the award of the degree of Bachelor of Technology</w:t>
      </w:r>
      <w:r>
        <w:rPr>
          <w:color w:val="12213D"/>
          <w:spacing w:val="-5"/>
          <w:sz w:val="28"/>
        </w:rPr>
        <w:t xml:space="preserve"> </w:t>
      </w:r>
      <w:r>
        <w:rPr>
          <w:color w:val="12213D"/>
          <w:sz w:val="28"/>
        </w:rPr>
        <w:t>in</w:t>
      </w:r>
      <w:r>
        <w:rPr>
          <w:color w:val="12213D"/>
          <w:spacing w:val="-6"/>
          <w:sz w:val="28"/>
        </w:rPr>
        <w:t xml:space="preserve"> </w:t>
      </w:r>
      <w:r>
        <w:rPr>
          <w:color w:val="12213D"/>
          <w:sz w:val="28"/>
        </w:rPr>
        <w:t>Computer</w:t>
      </w:r>
      <w:r>
        <w:rPr>
          <w:color w:val="12213D"/>
          <w:spacing w:val="-8"/>
          <w:sz w:val="28"/>
        </w:rPr>
        <w:t xml:space="preserve"> </w:t>
      </w:r>
      <w:r>
        <w:rPr>
          <w:color w:val="12213D"/>
          <w:sz w:val="28"/>
        </w:rPr>
        <w:t>Science</w:t>
      </w:r>
      <w:r>
        <w:rPr>
          <w:color w:val="12213D"/>
          <w:spacing w:val="-9"/>
          <w:sz w:val="28"/>
        </w:rPr>
        <w:t xml:space="preserve"> </w:t>
      </w:r>
      <w:r>
        <w:rPr>
          <w:color w:val="12213D"/>
          <w:sz w:val="28"/>
        </w:rPr>
        <w:t>and</w:t>
      </w:r>
      <w:r>
        <w:rPr>
          <w:color w:val="12213D"/>
          <w:spacing w:val="-8"/>
          <w:sz w:val="28"/>
        </w:rPr>
        <w:t xml:space="preserve"> </w:t>
      </w:r>
      <w:r>
        <w:rPr>
          <w:color w:val="12213D"/>
          <w:sz w:val="28"/>
        </w:rPr>
        <w:t>Business</w:t>
      </w:r>
      <w:r>
        <w:rPr>
          <w:color w:val="12213D"/>
          <w:spacing w:val="-5"/>
          <w:sz w:val="28"/>
        </w:rPr>
        <w:t xml:space="preserve"> </w:t>
      </w:r>
      <w:r>
        <w:rPr>
          <w:color w:val="12213D"/>
          <w:sz w:val="28"/>
        </w:rPr>
        <w:t>Systems,</w:t>
      </w:r>
      <w:r>
        <w:rPr>
          <w:color w:val="12213D"/>
          <w:spacing w:val="-11"/>
          <w:sz w:val="28"/>
        </w:rPr>
        <w:t xml:space="preserve"> </w:t>
      </w:r>
      <w:r>
        <w:rPr>
          <w:color w:val="12213D"/>
          <w:sz w:val="28"/>
        </w:rPr>
        <w:t>during</w:t>
      </w:r>
      <w:r>
        <w:rPr>
          <w:color w:val="12213D"/>
          <w:spacing w:val="-12"/>
          <w:sz w:val="28"/>
        </w:rPr>
        <w:t xml:space="preserve"> </w:t>
      </w:r>
      <w:r>
        <w:rPr>
          <w:color w:val="12213D"/>
          <w:sz w:val="28"/>
        </w:rPr>
        <w:t>the</w:t>
      </w:r>
      <w:r>
        <w:rPr>
          <w:color w:val="12213D"/>
          <w:spacing w:val="-12"/>
          <w:sz w:val="28"/>
        </w:rPr>
        <w:t xml:space="preserve"> </w:t>
      </w:r>
      <w:r>
        <w:rPr>
          <w:color w:val="12213D"/>
          <w:sz w:val="28"/>
        </w:rPr>
        <w:t>academic</w:t>
      </w:r>
      <w:r>
        <w:rPr>
          <w:color w:val="12213D"/>
          <w:spacing w:val="-8"/>
          <w:sz w:val="28"/>
        </w:rPr>
        <w:t xml:space="preserve"> </w:t>
      </w:r>
      <w:r>
        <w:rPr>
          <w:color w:val="12213D"/>
          <w:sz w:val="28"/>
        </w:rPr>
        <w:t xml:space="preserve">year </w:t>
      </w:r>
      <w:r>
        <w:rPr>
          <w:color w:val="12213D"/>
          <w:spacing w:val="-2"/>
          <w:sz w:val="28"/>
        </w:rPr>
        <w:t>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rPr>
          <w:rFonts w:ascii="Arial Black"/>
          <w:spacing w:val="-8"/>
          <w:sz w:val="24"/>
        </w:rPr>
        <w:t>Dear</w:t>
      </w:r>
      <w:r>
        <w:rPr>
          <w:rFonts w:ascii="Arial Black"/>
          <w:spacing w:val="-22"/>
          <w:sz w:val="24"/>
        </w:rPr>
        <w:t xml:space="preserve"> </w:t>
      </w:r>
      <w:proofErr w:type="spellStart"/>
      <w:r>
        <w:rPr>
          <w:rFonts w:ascii="Arial Black"/>
          <w:spacing w:val="-8"/>
          <w:sz w:val="24"/>
        </w:rPr>
        <w:t>Mohaneswari</w:t>
      </w:r>
      <w:proofErr w:type="spellEnd"/>
      <w:r>
        <w:rPr>
          <w:rFonts w:ascii="Arial Black"/>
          <w:spacing w:val="-23"/>
          <w:sz w:val="24"/>
        </w:rPr>
        <w:t xml:space="preserve"> </w:t>
      </w:r>
      <w:r>
        <w:rPr>
          <w:rFonts w:ascii="Arial Black"/>
          <w:spacing w:val="-8"/>
          <w:sz w:val="24"/>
        </w:rPr>
        <w:t>P,</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rPr>
          <w:color w:val="0E0D12"/>
          <w:sz w:val="24"/>
        </w:rPr>
        <w:t xml:space="preserve">This is to certify that </w:t>
      </w:r>
      <w:r>
        <w:rPr>
          <w:b/>
          <w:color w:val="0E0D12"/>
          <w:sz w:val="24"/>
        </w:rPr>
        <w:t xml:space="preserve">Ms. </w:t>
      </w:r>
      <w:proofErr w:type="spellStart"/>
      <w:r>
        <w:rPr>
          <w:b/>
          <w:color w:val="0E0D12"/>
          <w:sz w:val="24"/>
        </w:rPr>
        <w:t>Mohaneswari</w:t>
      </w:r>
      <w:proofErr w:type="spellEnd"/>
      <w:r>
        <w:rPr>
          <w:b/>
          <w:color w:val="0E0D12"/>
          <w:sz w:val="24"/>
        </w:rPr>
        <w:t xml:space="preserve"> P (Reg No: 711724UCB128)</w:t>
      </w:r>
      <w:r>
        <w:rPr>
          <w:color w:val="0E0D12"/>
          <w:sz w:val="24"/>
        </w:rPr>
        <w:t xml:space="preserve">, a </w:t>
      </w:r>
      <w:proofErr w:type="spellStart"/>
      <w:proofErr w:type="gramStart"/>
      <w:r>
        <w:rPr>
          <w:color w:val="0E0D12"/>
          <w:sz w:val="24"/>
        </w:rPr>
        <w:t>B.Tech</w:t>
      </w:r>
      <w:proofErr w:type="spellEnd"/>
      <w:proofErr w:type="gramEnd"/>
      <w:r>
        <w:rPr>
          <w:color w:val="0E0D12"/>
          <w:sz w:val="24"/>
        </w:rPr>
        <w:t xml:space="preserve"> student of the </w:t>
      </w:r>
      <w:r>
        <w:rPr>
          <w:b/>
          <w:color w:val="0E0D12"/>
          <w:sz w:val="24"/>
        </w:rPr>
        <w:t xml:space="preserve">Department of Computer Science and Business Systems (CSBS) </w:t>
      </w:r>
      <w:r>
        <w:rPr>
          <w:color w:val="0E0D12"/>
          <w:sz w:val="24"/>
        </w:rPr>
        <w:t xml:space="preserve">at </w:t>
      </w:r>
      <w:proofErr w:type="spellStart"/>
      <w:r>
        <w:rPr>
          <w:color w:val="0E0D12"/>
          <w:sz w:val="24"/>
        </w:rPr>
        <w:t>KGiSL</w:t>
      </w:r>
      <w:proofErr w:type="spellEnd"/>
      <w:r>
        <w:rPr>
          <w:color w:val="0E0D12"/>
          <w:sz w:val="24"/>
        </w:rPr>
        <w:t xml:space="preserve"> Institute of Technology,</w:t>
      </w:r>
      <w:r>
        <w:rPr>
          <w:color w:val="0E0D12"/>
          <w:spacing w:val="40"/>
          <w:sz w:val="24"/>
        </w:rPr>
        <w:t xml:space="preserve"> </w:t>
      </w:r>
      <w:r>
        <w:rPr>
          <w:color w:val="0E0D12"/>
          <w:sz w:val="24"/>
        </w:rPr>
        <w:t>has</w:t>
      </w:r>
      <w:r>
        <w:rPr>
          <w:color w:val="0E0D12"/>
          <w:spacing w:val="40"/>
          <w:sz w:val="24"/>
        </w:rPr>
        <w:t xml:space="preserve"> </w:t>
      </w:r>
      <w:r>
        <w:rPr>
          <w:color w:val="0E0D12"/>
          <w:sz w:val="24"/>
        </w:rPr>
        <w:t>successfully</w:t>
      </w:r>
      <w:r>
        <w:rPr>
          <w:color w:val="0E0D12"/>
          <w:spacing w:val="40"/>
          <w:sz w:val="24"/>
        </w:rPr>
        <w:t xml:space="preserve"> </w:t>
      </w:r>
      <w:r>
        <w:rPr>
          <w:color w:val="0E0D12"/>
          <w:sz w:val="24"/>
        </w:rPr>
        <w:t>completed</w:t>
      </w:r>
      <w:r>
        <w:rPr>
          <w:color w:val="0E0D12"/>
          <w:spacing w:val="40"/>
          <w:sz w:val="24"/>
        </w:rPr>
        <w:t xml:space="preserve"> </w:t>
      </w:r>
      <w:r>
        <w:rPr>
          <w:color w:val="0E0D12"/>
          <w:sz w:val="24"/>
        </w:rPr>
        <w:t>her</w:t>
      </w:r>
      <w:r>
        <w:rPr>
          <w:color w:val="0E0D12"/>
          <w:spacing w:val="40"/>
          <w:sz w:val="24"/>
        </w:rPr>
        <w:t xml:space="preserve"> </w:t>
      </w:r>
      <w:r>
        <w:rPr>
          <w:color w:val="0E0D12"/>
          <w:sz w:val="24"/>
        </w:rPr>
        <w:t>Offline</w:t>
      </w:r>
      <w:r>
        <w:rPr>
          <w:color w:val="0E0D12"/>
          <w:spacing w:val="40"/>
          <w:sz w:val="24"/>
        </w:rPr>
        <w:t xml:space="preserve"> </w:t>
      </w:r>
      <w:r>
        <w:rPr>
          <w:color w:val="0E0D12"/>
          <w:sz w:val="24"/>
        </w:rPr>
        <w:t>Internship</w:t>
      </w:r>
      <w:r>
        <w:rPr>
          <w:color w:val="0E0D12"/>
          <w:spacing w:val="40"/>
          <w:sz w:val="24"/>
        </w:rPr>
        <w:t xml:space="preserve"> </w:t>
      </w:r>
      <w:r>
        <w:rPr>
          <w:color w:val="0E0D12"/>
          <w:sz w:val="24"/>
        </w:rPr>
        <w:t>Training</w:t>
      </w:r>
      <w:r>
        <w:rPr>
          <w:color w:val="0E0D12"/>
          <w:spacing w:val="40"/>
          <w:sz w:val="24"/>
        </w:rPr>
        <w:t xml:space="preserve"> </w:t>
      </w:r>
      <w:r>
        <w:rPr>
          <w:color w:val="0E0D12"/>
          <w:sz w:val="24"/>
        </w:rPr>
        <w:t>in</w:t>
      </w:r>
      <w:r>
        <w:rPr>
          <w:color w:val="0E0D12"/>
          <w:spacing w:val="40"/>
          <w:sz w:val="24"/>
        </w:rPr>
        <w:t xml:space="preserve"> </w:t>
      </w:r>
      <w:r>
        <w:rPr>
          <w:b/>
          <w:color w:val="0E0D12"/>
          <w:sz w:val="24"/>
        </w:rPr>
        <w:t xml:space="preserve">Artificial Intelligence </w:t>
      </w:r>
      <w:r>
        <w:rPr>
          <w:color w:val="0E0D12"/>
          <w:sz w:val="24"/>
        </w:rPr>
        <w:t xml:space="preserve">at </w:t>
      </w:r>
      <w:proofErr w:type="spellStart"/>
      <w:r>
        <w:rPr>
          <w:b/>
          <w:color w:val="0E0D12"/>
          <w:sz w:val="24"/>
        </w:rPr>
        <w:t>Benchmarrk</w:t>
      </w:r>
      <w:proofErr w:type="spellEnd"/>
      <w:r>
        <w:rPr>
          <w:b/>
          <w:color w:val="0E0D12"/>
          <w:sz w:val="24"/>
        </w:rPr>
        <w:t xml:space="preserve"> </w:t>
      </w:r>
      <w:r>
        <w:rPr>
          <w:color w:val="0E0D12"/>
          <w:sz w:val="24"/>
        </w:rPr>
        <w:t xml:space="preserve">during the period from </w:t>
      </w:r>
      <w:r>
        <w:rPr>
          <w:b/>
          <w:color w:val="0E0D12"/>
          <w:sz w:val="24"/>
        </w:rPr>
        <w:t>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rPr>
          <w:color w:val="0E0D12"/>
          <w:w w:val="105"/>
        </w:rPr>
        <w:t>We found her to be sincere, responsible, and dedicated in carrying out her responsibilities.</w:t>
      </w:r>
      <w:r>
        <w:rPr>
          <w:color w:val="0E0D12"/>
          <w:spacing w:val="40"/>
          <w:w w:val="105"/>
        </w:rPr>
        <w:t xml:space="preserve"> </w:t>
      </w:r>
      <w:r>
        <w:rPr>
          <w:color w:val="0E0D12"/>
          <w:w w:val="105"/>
        </w:rPr>
        <w:t>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rPr>
          <w:color w:val="0E0D12"/>
          <w:w w:val="105"/>
        </w:rPr>
        <w:t>We appreciate her efforts and contribution during the internship period and wish her</w:t>
      </w:r>
      <w:r>
        <w:rPr>
          <w:color w:val="0E0D12"/>
          <w:spacing w:val="40"/>
          <w:w w:val="105"/>
        </w:rPr>
        <w:t xml:space="preserve"> </w:t>
      </w:r>
      <w:r>
        <w:rPr>
          <w:color w:val="0E0D12"/>
          <w:w w:val="105"/>
        </w:rPr>
        <w:t xml:space="preserve">continued </w:t>
      </w:r>
      <w:proofErr w:type="spellStart"/>
      <w:r>
        <w:rPr>
          <w:color w:val="0E0D12"/>
          <w:w w:val="105"/>
        </w:rPr>
        <w:t>successin</w:t>
      </w:r>
      <w:proofErr w:type="spellEnd"/>
      <w:r>
        <w:rPr>
          <w:color w:val="0E0D12"/>
          <w:w w:val="105"/>
        </w:rPr>
        <w:t xml:space="preserve">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t>HARVIX is a web-based AI assistant developed to provide programming support, mathematical problem solving, and general technical assistance through one conversational dashboard. The system uses React and Vite for the frontend and Python FastAPI for the backend REST service. It automatically routes user requests into general, coding, or mathematics categories. SymPy is integrated to perform accurate symbolic operations such as equation solving, simplification, differentiation, and integration. The dashboard supports Auto, Coding, and Math modes, suggested prompts, response copying, typing feedback, and responsive layouts. General and coding responses can use an optional OpenAI-compatible provider, while a local fallback supports operation without an external API. The project includes input validation, error handling, automated Pytest tests, Docker support, GitHub Actions continuous integration, and technical documentation. Testing confirmed the functionality of the API endpoints, mathematics engine, request routing, frontend build, and dashboard. HARVIX demonstrates the practical integration of artificial intelligence, symbolic computation, modern web development, and software engineering practices in an educational assistant platform.</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pPr>
              <w:spacing w:after="0"/>
            </w:pPr>
            <w:r>
              <w:rPr>
                <w:sz w:val="18"/>
              </w:rPr>
              <w:t>CHAPTER NO</w:t>
            </w:r>
          </w:p>
        </w:tc>
        <w:tc>
          <w:tcPr>
            <w:tcW w:w="4964" w:type="dxa"/>
            <w:tcBorders>
              <w:left w:val="nil"/>
              <w:right w:val="nil"/>
            </w:tcBorders>
            <w:shd w:val="clear" w:color="auto" w:fill="1F3862"/>
          </w:tcPr>
          <w:p>
            <w:pPr>
              <w:spacing w:after="0"/>
            </w:pPr>
            <w:r>
              <w:rPr>
                <w:sz w:val="18"/>
              </w:rPr>
              <w:t>TITLE</w:t>
            </w:r>
          </w:p>
        </w:tc>
        <w:tc>
          <w:tcPr>
            <w:tcW w:w="1843" w:type="dxa"/>
            <w:tcBorders>
              <w:left w:val="nil"/>
            </w:tcBorders>
            <w:shd w:val="clear" w:color="auto" w:fill="1F3862"/>
          </w:tcPr>
          <w:p>
            <w:pPr>
              <w:spacing w:after="0"/>
            </w:pPr>
            <w:r>
              <w:rPr>
                <w:sz w:val="18"/>
              </w:rPr>
              <w:t>PAGE 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pPr>
              <w:spacing w:after="0"/>
            </w:pPr>
            <w:r>
              <w:rPr>
                <w:sz w:val="18"/>
              </w:rPr>
              <w:t>1</w:t>
            </w:r>
          </w:p>
        </w:tc>
        <w:tc>
          <w:tcPr>
            <w:tcW w:w="4964" w:type="dxa"/>
            <w:tcBorders>
              <w:left w:val="single" w:sz="4" w:space="0" w:color="9CC2E3"/>
              <w:bottom w:val="single" w:sz="4" w:space="0" w:color="9CC2E3"/>
              <w:right w:val="single" w:sz="4" w:space="0" w:color="9CC2E3"/>
            </w:tcBorders>
            <w:shd w:val="clear" w:color="auto" w:fill="DEEAF6"/>
          </w:tcPr>
          <w:p>
            <w:pPr>
              <w:spacing w:after="0"/>
            </w:pPr>
            <w:r>
              <w:rPr>
                <w:sz w:val="18"/>
              </w:rPr>
              <w:t>Introduction</w:t>
            </w:r>
          </w:p>
        </w:tc>
        <w:tc>
          <w:tcPr>
            <w:tcW w:w="1843" w:type="dxa"/>
            <w:tcBorders>
              <w:left w:val="single" w:sz="4" w:space="0" w:color="9CC2E3"/>
              <w:bottom w:val="single" w:sz="4" w:space="0" w:color="9CC2E3"/>
              <w:right w:val="single" w:sz="4" w:space="0" w:color="9CC2E3"/>
            </w:tcBorders>
            <w:shd w:val="clear" w:color="auto" w:fill="DEEAF6"/>
          </w:tcPr>
          <w:p>
            <w:pPr>
              <w:spacing w:after="0"/>
            </w:pPr>
            <w:r>
              <w:rPr>
                <w:sz w:val="18"/>
              </w:rPr>
              <w:t>7</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2</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Existing Method</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Proposed Method with 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9</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4</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Methodology</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11</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13</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6</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Conclusion</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21</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pPr>
              <w:spacing w:after="0"/>
            </w:pPr>
            <w:r>
              <w:rPr>
                <w:sz w:val="18"/>
              </w:rPr>
              <w:t>FIGURE NO</w:t>
            </w:r>
          </w:p>
        </w:tc>
        <w:tc>
          <w:tcPr>
            <w:tcW w:w="4964" w:type="dxa"/>
            <w:tcBorders>
              <w:left w:val="nil"/>
              <w:right w:val="nil"/>
            </w:tcBorders>
            <w:shd w:val="clear" w:color="auto" w:fill="1F3862"/>
          </w:tcPr>
          <w:p>
            <w:pPr>
              <w:spacing w:after="0"/>
            </w:pPr>
            <w:r>
              <w:rPr>
                <w:sz w:val="18"/>
              </w:rPr>
              <w:t>TITLE</w:t>
            </w:r>
          </w:p>
        </w:tc>
        <w:tc>
          <w:tcPr>
            <w:tcW w:w="1843" w:type="dxa"/>
            <w:tcBorders>
              <w:left w:val="nil"/>
            </w:tcBorders>
            <w:shd w:val="clear" w:color="auto" w:fill="1F3862"/>
          </w:tcPr>
          <w:p>
            <w:pPr>
              <w:spacing w:after="0"/>
            </w:pPr>
            <w:r>
              <w:rPr>
                <w:sz w:val="18"/>
              </w:rPr>
              <w:t>PAGE 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pPr>
              <w:spacing w:after="0"/>
            </w:pPr>
            <w:r>
              <w:rPr>
                <w:sz w:val="18"/>
              </w:rPr>
              <w:t>3.1</w:t>
            </w:r>
          </w:p>
        </w:tc>
        <w:tc>
          <w:tcPr>
            <w:tcW w:w="4964" w:type="dxa"/>
            <w:tcBorders>
              <w:left w:val="single" w:sz="4" w:space="0" w:color="9CC2E3"/>
              <w:bottom w:val="single" w:sz="4" w:space="0" w:color="9CC2E3"/>
              <w:right w:val="single" w:sz="4" w:space="0" w:color="9CC2E3"/>
            </w:tcBorders>
            <w:shd w:val="clear" w:color="auto" w:fill="DEEAF6"/>
          </w:tcPr>
          <w:p>
            <w:pPr>
              <w:spacing w:after="0"/>
            </w:pPr>
            <w:r>
              <w:rPr>
                <w:sz w:val="18"/>
              </w:rPr>
              <w:t>HARVIX system architecture</w:t>
            </w:r>
          </w:p>
        </w:tc>
        <w:tc>
          <w:tcPr>
            <w:tcW w:w="1843" w:type="dxa"/>
            <w:tcBorders>
              <w:left w:val="single" w:sz="4" w:space="0" w:color="9CC2E3"/>
              <w:bottom w:val="single" w:sz="4" w:space="0" w:color="9CC2E3"/>
              <w:right w:val="single" w:sz="4" w:space="0" w:color="9CC2E3"/>
            </w:tcBorders>
            <w:shd w:val="clear" w:color="auto" w:fill="DEEAF6"/>
          </w:tcPr>
          <w:p>
            <w:pPr>
              <w:spacing w:after="0"/>
            </w:pPr>
            <w:r>
              <w:rPr>
                <w:sz w:val="18"/>
              </w:rPr>
              <w:t>9</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3.2</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Role-based access flow from login to role-specific UI</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10</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Document ingestion 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12</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4.2</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Query-time retrieval and generation pipeline</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12</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Registration and login authentication 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pPr>
              <w:spacing w:after="0"/>
            </w:pPr>
            <w:r>
              <w:rPr>
                <w:sz w:val="18"/>
              </w:rPr>
              <w:t>12</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pPr>
              <w:spacing w:after="0"/>
            </w:pPr>
            <w:r>
              <w:rPr>
                <w:sz w:val="18"/>
              </w:rPr>
              <w:t>TABLE NO</w:t>
            </w:r>
          </w:p>
        </w:tc>
        <w:tc>
          <w:tcPr>
            <w:tcW w:w="4964" w:type="dxa"/>
            <w:tcBorders>
              <w:left w:val="nil"/>
              <w:right w:val="nil"/>
            </w:tcBorders>
            <w:shd w:val="clear" w:color="auto" w:fill="1F3862"/>
          </w:tcPr>
          <w:p>
            <w:pPr>
              <w:spacing w:after="0"/>
            </w:pPr>
            <w:r>
              <w:rPr>
                <w:sz w:val="18"/>
              </w:rPr>
              <w:t>TITLE</w:t>
            </w:r>
          </w:p>
        </w:tc>
        <w:tc>
          <w:tcPr>
            <w:tcW w:w="1843" w:type="dxa"/>
            <w:tcBorders>
              <w:left w:val="nil"/>
            </w:tcBorders>
            <w:shd w:val="clear" w:color="auto" w:fill="1F3862"/>
          </w:tcPr>
          <w:p>
            <w:pPr>
              <w:spacing w:after="0"/>
            </w:pPr>
            <w:r>
              <w:rPr>
                <w:sz w:val="18"/>
              </w:rPr>
              <w:t>PAGE 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pPr>
              <w:spacing w:after="0"/>
            </w:pPr>
            <w:r>
              <w:rPr>
                <w:sz w:val="18"/>
              </w:rPr>
              <w:t>4.1</w:t>
            </w:r>
          </w:p>
        </w:tc>
        <w:tc>
          <w:tcPr>
            <w:tcW w:w="4964" w:type="dxa"/>
            <w:tcBorders>
              <w:left w:val="single" w:sz="4" w:space="0" w:color="9CC2E3"/>
              <w:bottom w:val="single" w:sz="4" w:space="0" w:color="9CC2E3"/>
              <w:right w:val="single" w:sz="4" w:space="0" w:color="9CC2E3"/>
            </w:tcBorders>
            <w:shd w:val="clear" w:color="auto" w:fill="DEEAF6"/>
          </w:tcPr>
          <w:p>
            <w:pPr>
              <w:spacing w:after="0"/>
            </w:pPr>
            <w:r>
              <w:rPr>
                <w:sz w:val="18"/>
              </w:rPr>
              <w:t>Technology stack by layer</w:t>
            </w:r>
          </w:p>
        </w:tc>
        <w:tc>
          <w:tcPr>
            <w:tcW w:w="1843" w:type="dxa"/>
            <w:tcBorders>
              <w:left w:val="single" w:sz="4" w:space="0" w:color="9CC2E3"/>
              <w:bottom w:val="single" w:sz="4" w:space="0" w:color="9CC2E3"/>
              <w:right w:val="single" w:sz="4" w:space="0" w:color="9CC2E3"/>
            </w:tcBorders>
            <w:shd w:val="clear" w:color="auto" w:fill="DEEAF6"/>
          </w:tcPr>
          <w:p>
            <w:pPr>
              <w:spacing w:after="0"/>
            </w:pPr>
            <w:r>
              <w:rPr>
                <w:sz w:val="18"/>
              </w:rPr>
              <w:t>11</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pPr>
              <w:spacing w:after="0"/>
            </w:pPr>
            <w:r>
              <w:rPr>
                <w:sz w:val="18"/>
              </w:rPr>
              <w:t>5.1</w:t>
            </w:r>
          </w:p>
        </w:tc>
        <w:tc>
          <w:tcPr>
            <w:tcW w:w="4964" w:type="dxa"/>
            <w:tcBorders>
              <w:top w:val="single" w:sz="4" w:space="0" w:color="9CC2E3"/>
              <w:left w:val="single" w:sz="4" w:space="0" w:color="9CC2E3"/>
              <w:bottom w:val="single" w:sz="4" w:space="0" w:color="9CC2E3"/>
              <w:right w:val="single" w:sz="4" w:space="0" w:color="9CC2E3"/>
            </w:tcBorders>
          </w:tcPr>
          <w:p>
            <w:pPr>
              <w:spacing w:after="0"/>
            </w:pPr>
            <w:r>
              <w:rPr>
                <w:sz w:val="18"/>
              </w:rPr>
              <w:t>Summary of the primary backend API endpoints</w:t>
            </w:r>
          </w:p>
        </w:tc>
        <w:tc>
          <w:tcPr>
            <w:tcW w:w="1843" w:type="dxa"/>
            <w:tcBorders>
              <w:top w:val="single" w:sz="4" w:space="0" w:color="9CC2E3"/>
              <w:left w:val="single" w:sz="4" w:space="0" w:color="9CC2E3"/>
              <w:bottom w:val="single" w:sz="4" w:space="0" w:color="9CC2E3"/>
              <w:right w:val="single" w:sz="4" w:space="0" w:color="9CC2E3"/>
            </w:tcBorders>
          </w:tcPr>
          <w:p>
            <w:pPr>
              <w:spacing w:after="0"/>
            </w:pPr>
            <w:r>
              <w:rPr>
                <w:sz w:val="18"/>
              </w:rPr>
              <w:t>17</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pPr>
              <w:spacing w:after="0"/>
            </w:pPr>
            <w:r>
              <w:rPr>
                <w:sz w:val="18"/>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pPr>
              <w:spacing w:after="0"/>
            </w:pPr>
            <w:r>
              <w:rPr>
                <w:sz w:val="18"/>
              </w:rPr>
              <w:t>Functional Test 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pPr>
              <w:spacing w:after="0"/>
            </w:pPr>
            <w:r>
              <w:rPr>
                <w:sz w:val="18"/>
              </w:rPr>
              <w:t>21</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Support</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Static FAQ Pages and Keyword Search</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Plain LLM Chatbots Without Retrieval</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RAG over the Alternatives</w:t>
      </w:r>
    </w:p>
    <w:p>
      <w:pPr>
        <w:pStyle w:val="BodyText"/>
        <w:spacing w:after="140" w:line="276" w:lineRule="auto"/>
      </w:pPr>
      <w:r>
        <w:t>The template heading is retained for structural consistency. HARVIX does not currently implement a document-retrieval pipeline; instead, it focuses on direct intent routing and deterministic mathematics. A future retrieval layer could add project documentation or organizational knowledge as context before generation, while preserving the same principle of reducing unsupported answers.</w:t>
      </w:r>
    </w:p>
    <w:p>
      <w:pPr>
        <w:pStyle w:val="Heading5"/>
        <w:spacing w:before="180" w:after="100"/>
      </w:pPr>
      <w:r>
        <w:t>System Architecture</w:t>
      </w:r>
    </w:p>
    <w:p>
      <w:pPr>
        <w:jc w:val="center"/>
      </w:pPr>
      <w:r>
        <w:drawing>
          <wp:inline xmlns:a="http://schemas.openxmlformats.org/drawingml/2006/main" xmlns:pic="http://schemas.openxmlformats.org/drawingml/2006/picture">
            <wp:extent cx="5715000" cy="1863467"/>
            <wp:docPr id="1724265418" name="Picture 1724265418"/>
            <wp:cNvGraphicFramePr>
              <a:graphicFrameLocks noChangeAspect="1"/>
            </wp:cNvGraphicFramePr>
            <a:graphic>
              <a:graphicData uri="http://schemas.openxmlformats.org/drawingml/2006/picture">
                <pic:pic>
                  <pic:nvPicPr>
                    <pic:cNvPr id="0" name="harvix-architecture-flowchart.png"/>
                    <pic:cNvPicPr/>
                  </pic:nvPicPr>
                  <pic:blipFill>
                    <a:blip r:embed="rId29"/>
                    <a:stretch>
                      <a:fillRect/>
                    </a:stretch>
                  </pic:blipFill>
                  <pic:spPr>
                    <a:xfrm>
                      <a:off x="0" y="0"/>
                      <a:ext cx="5715000" cy="1863467"/>
                    </a:xfrm>
                    <a:prstGeom prst="rect"/>
                  </pic:spPr>
                </pic:pic>
              </a:graphicData>
            </a:graphic>
          </wp:inline>
        </w:drawing>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SymPy performs exact symbolic operations. Docker and GitHub Actions support repeatable execution and automated validation.</w:t>
      </w:r>
    </w:p>
    <w:p>
      <w:pPr>
        <w:pStyle w:val="Heading7"/>
        <w:spacing w:before="180" w:after="100"/>
      </w:pPr>
      <w:r>
        <w:t>React Frontend</w:t>
      </w:r>
    </w:p>
    <w:p>
      <w:pPr>
        <w:pStyle w:val="BodyText"/>
        <w:spacing w:after="140" w:line="276" w:lineRule="auto"/>
      </w:pPr>
      <w:r>
        <w:t>The React/Vite dashboard provides the HARVIX workspace, sidebar navigation, mode controls, suggested prompts, message bubbles, typing feedback, copy functionality, and responsive mobile behavior.</w:t>
      </w:r>
    </w:p>
    <w:p>
      <w:pPr>
        <w:pStyle w:val="Heading7"/>
        <w:spacing w:before="180" w:after="100"/>
      </w:pPr>
      <w:r>
        <w:t>FastAPI Backend</w:t>
      </w:r>
    </w:p>
    <w:p>
      <w:pPr>
        <w:pStyle w:val="BodyText"/>
        <w:spacing w:after="140" w:line="276" w:lineRule="auto"/>
      </w:pPr>
      <w:r>
        <w:t>The FastAPI service provides health, chat, and mathematics endpoints. It validates request fields, detects intent, returns structured responses, and keeps optional AI-provider credentials on the server side.</w:t>
      </w:r>
    </w:p>
    <w:p>
      <w:pPr>
        <w:pStyle w:val="Heading7"/>
        <w:spacing w:before="180" w:after="100"/>
      </w:pPr>
      <w:r>
        <w:t>MongoDB Atlas</w:t>
      </w:r>
    </w:p>
    <w:p>
      <w:pPr>
        <w:pStyle w:val="BodyText"/>
        <w:spacing w:after="140" w:line="276" w:lineRule="auto"/>
      </w:pPr>
      <w:r>
        <w:t>MongoDB Atlas is not used in the current HARVIX implementation. Conversation history is maintained in the frontend session, while persistent database storage is identified as a future extension.</w:t>
      </w:r>
    </w:p>
    <w:p>
      <w:pPr>
        <w:pStyle w:val="Heading7"/>
        <w:spacing w:before="180" w:after="100"/>
      </w:pPr>
      <w:r>
        <w:t>ChromaDB</w:t>
      </w:r>
    </w:p>
    <w:p>
      <w:pPr>
        <w:pStyle w:val="BodyText"/>
        <w:spacing w:after="140" w:line="276" w:lineRule="auto"/>
      </w:pPr>
      <w:r>
        <w:t>ChromaDB is not used in the current implementation because HARVIX does not yet include document ingestion or vector retrieval. A vector store could be added in a future RAG extension.</w:t>
      </w:r>
    </w:p>
    <w:p>
      <w:pPr>
        <w:pStyle w:val="Heading7"/>
        <w:spacing w:before="180" w:after="100"/>
      </w:pPr>
      <w:r>
        <w:t>Google Gemini API</w:t>
      </w:r>
    </w:p>
    <w:p>
      <w:pPr>
        <w:pStyle w:val="BodyText"/>
        <w:spacing w:after="140" w:line="276" w:lineRule="auto"/>
      </w:pPr>
      <w:r>
        <w:t>The current project uses an optional OpenAI-compatible provider rather than Google Gemini. The heading is retained to match the supplied template, while the implemented provider configuration is documented accurately in the technology stack.</w:t>
      </w:r>
    </w:p>
    <w:p>
      <w:pPr>
        <w:pStyle w:val="Heading5"/>
        <w:spacing w:before="180" w:after="100"/>
      </w:pPr>
      <w:r>
        <w:t>Role-Based Access Design</w:t>
      </w:r>
    </w:p>
    <w:p>
      <w:pPr>
        <w:pStyle w:val="BodyText"/>
        <w:spacing w:after="140" w:line="276" w:lineRule="auto"/>
      </w:pPr>
      <w:r>
        <w:t>The current HARVIX version is a single-workspace demonstration and does not yet implement user roles or authentication. Role-based access can be added when persistent users, saved conversations, and administrative controls are introduced.</w:t>
      </w:r>
    </w:p>
    <w:p>
      <w:pPr>
        <w:jc w:val="center"/>
      </w:pPr>
      <w:r>
        <w:drawing>
          <wp:inline xmlns:a="http://schemas.openxmlformats.org/drawingml/2006/main" xmlns:pic="http://schemas.openxmlformats.org/drawingml/2006/picture">
            <wp:extent cx="5577840" cy="1047057"/>
            <wp:docPr id="1724265419" name="Picture 1724265419"/>
            <wp:cNvGraphicFramePr>
              <a:graphicFrameLocks noChangeAspect="1"/>
            </wp:cNvGraphicFramePr>
            <a:graphic>
              <a:graphicData uri="http://schemas.openxmlformats.org/drawingml/2006/picture">
                <pic:pic>
                  <pic:nvPicPr>
                    <pic:cNvPr id="0" name="role-access-flow.png"/>
                    <pic:cNvPicPr/>
                  </pic:nvPicPr>
                  <pic:blipFill>
                    <a:blip r:embed="rId30"/>
                    <a:stretch>
                      <a:fillRect/>
                    </a:stretch>
                  </pic:blipFill>
                  <pic:spPr>
                    <a:xfrm>
                      <a:off x="0" y="0"/>
                      <a:ext cx="5577840" cy="1047057"/>
                    </a:xfrm>
                    <a:prstGeom prst="rect"/>
                  </pic:spPr>
                </pic:pic>
              </a:graphicData>
            </a:graphic>
          </wp:inline>
        </w:drawing>
      </w:r>
    </w:p>
    <w:p>
      <w:pPr>
        <w:spacing w:after="160"/>
        <w:jc w:val="center"/>
      </w:pPr>
      <w:r>
        <w:rPr>
          <w:i/>
          <w:color w:val="666666"/>
          <w:sz w:val="18"/>
        </w:rPr>
        <w:t>Figure 3.2: Role-based access flow from login to role-specific UI</w:t>
      </w:r>
    </w:p>
    <w:p>
      <w:pPr>
        <w:pStyle w:val="Heading5"/>
        <w:spacing w:before="180" w:after="100"/>
      </w:pPr>
      <w:r>
        <w:t>Advantages of the Proposed System</w:t>
      </w:r>
    </w:p>
    <w:p>
      <w:pPr>
        <w:pStyle w:val="ListParagraph"/>
        <w:spacing w:after="80"/>
        <w:ind w:left="360" w:hanging="259"/>
      </w:pPr>
      <w:r>
        <w:t>• Unified access to coding, mathematics, and general assistance.</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a mandatory external service.</w:t>
      </w:r>
    </w:p>
    <w:p>
      <w:pPr>
        <w:pStyle w:val="ListParagraph"/>
        <w:spacing w:after="80"/>
        <w:ind w:left="360" w:hanging="259"/>
      </w:pPr>
      <w:r>
        <w:t>• Clear project structure that supports testing, Docker, and future cloud deployment.</w:t>
      </w:r>
    </w:p>
    <w:p>
      <w:pPr>
        <w:pStyle w:val="Heading5"/>
        <w:spacing w:before="180" w:after="100"/>
      </w:pPr>
      <w:r>
        <w:t>Functional Modules of the System</w:t>
      </w:r>
    </w:p>
    <w:p>
      <w:pPr>
        <w:pStyle w:val="Heading7"/>
        <w:spacing w:before="180" w:after="100"/>
      </w:pPr>
      <w:r>
        <w:t>Functional Modules</w:t>
      </w:r>
    </w:p>
    <w:p>
      <w:pPr>
        <w:pStyle w:val="BodyText"/>
        <w:spacing w:after="140" w:line="276" w:lineRule="auto"/>
      </w:pPr>
      <w:r>
        <w:t>The system is organized into conversational assistance, coding assistance, mathematics solving, API configuration, and validation modules. Each module has a focused responsibility so that later features can be added without rewriting the whole application.</w:t>
      </w:r>
    </w:p>
    <w:p>
      <w:pPr>
        <w:pStyle w:val="Heading7"/>
        <w:spacing w:before="180" w:after="100"/>
      </w:pPr>
      <w:r>
        <w:t>User Authentication Module</w:t>
      </w:r>
    </w:p>
    <w:p>
      <w:pPr>
        <w:pStyle w:val="BodyText"/>
        <w:spacing w:after="140" w:line="276" w:lineRule="auto"/>
      </w:pPr>
      <w:r>
        <w:t>Authentication is not included in the current release. Future versions can add email/password and Google login with JWT-based session management and user-specific conversation history.</w:t>
      </w:r>
    </w:p>
    <w:p>
      <w:pPr>
        <w:pStyle w:val="Heading7"/>
        <w:spacing w:before="180" w:after="100"/>
      </w:pPr>
      <w:r>
        <w:t>Customer Module</w:t>
      </w:r>
    </w:p>
    <w:p>
      <w:pPr>
        <w:pStyle w:val="BodyText"/>
        <w:spacing w:after="140" w:line="276" w:lineRule="auto"/>
      </w:pPr>
      <w:r>
        <w:t>The current dashboard represents the end-user workspace. Users can start a conversation, select Auto, Coding, or Math mode, submit prompts, view responses, and use suggested actions.</w:t>
      </w:r>
    </w:p>
    <w:p>
      <w:pPr>
        <w:pStyle w:val="Heading7"/>
        <w:spacing w:before="180" w:after="100"/>
      </w:pPr>
      <w:r>
        <w:t>Administrator Module</w:t>
      </w:r>
    </w:p>
    <w:p>
      <w:pPr>
        <w:pStyle w:val="BodyText"/>
        <w:spacing w:after="140" w:line="276" w:lineRule="auto"/>
      </w:pPr>
      <w:r>
        <w:t>An administrator dashboard is outside the current scope. Future administration features may include usage monitoring, configuration management, user management, and service-health reporting.</w:t>
      </w:r>
    </w:p>
    <w:p>
      <w:pPr>
        <w:pStyle w:val="Heading7"/>
        <w:spacing w:before="180" w:after="100"/>
      </w:pPr>
      <w:r>
        <w:t>Knowledge Base Management Module</w:t>
      </w:r>
    </w:p>
    <w:p>
      <w:pPr>
        <w:pStyle w:val="BodyText"/>
        <w:spacing w:after="140" w:line="276" w:lineRule="auto"/>
      </w:pPr>
      <w:r>
        <w:t>Document upload and knowledge-base indexing are not implemented in the current HARVIX release. They are suitable future additions if a retrieval-augmented generation workflow is required.</w:t>
      </w:r>
    </w:p>
    <w:p>
      <w:pPr>
        <w:pStyle w:val="Heading7"/>
        <w:spacing w:before="180" w:after="100"/>
      </w:pPr>
      <w:r>
        <w:t>Analytics Module</w:t>
      </w:r>
    </w:p>
    <w:p>
      <w:pPr>
        <w:pStyle w:val="BodyText"/>
        <w:spacing w:after="140" w:line="276" w:lineRule="auto"/>
      </w:pPr>
      <w:r>
        <w:t>The current API returns response timing for each chat request, but it does not persist analytics records. A future analytics module could store conversations, response times, usage counts, and feedback.</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Pr>
                <w:sz w:val="17"/>
              </w:rPr>
              <w:t>Layer</w:t>
            </w:r>
          </w:p>
        </w:tc>
        <w:tc>
          <w:tcPr>
            <w:tcW w:type="dxa" w:w="3240"/>
            <w:vAlign w:val="center"/>
            <w:shd w:fill="17365D"/>
          </w:tcPr>
          <w:p>
            <w:pPr>
              <w:spacing w:after="0"/>
            </w:pPr>
            <w:r>
              <w:rPr>
                <w:sz w:val="17"/>
              </w:rPr>
              <w:t>Technology / Tool</w:t>
            </w:r>
          </w:p>
        </w:tc>
        <w:tc>
          <w:tcPr>
            <w:tcW w:type="dxa" w:w="3240"/>
            <w:vAlign w:val="center"/>
            <w:shd w:fill="17365D"/>
          </w:tcPr>
          <w:p>
            <w:pPr>
              <w:spacing w:after="0"/>
            </w:pPr>
            <w:r>
              <w:rPr>
                <w:sz w:val="17"/>
              </w:rPr>
              <w:t>HARVIX Implementation</w:t>
            </w:r>
          </w:p>
        </w:tc>
      </w:tr>
      <w:tr>
        <w:tc>
          <w:tcPr>
            <w:tcW w:type="dxa" w:w="3240"/>
          </w:tcPr>
          <w:p>
            <w:pPr>
              <w:spacing w:after="0"/>
            </w:pPr>
            <w:r>
              <w:rPr>
                <w:sz w:val="17"/>
              </w:rPr>
              <w:t>Frontend</w:t>
            </w:r>
          </w:p>
        </w:tc>
        <w:tc>
          <w:tcPr>
            <w:tcW w:type="dxa" w:w="3240"/>
          </w:tcPr>
          <w:p>
            <w:pPr>
              <w:spacing w:after="0"/>
            </w:pPr>
            <w:r>
              <w:rPr>
                <w:sz w:val="17"/>
              </w:rPr>
              <w:t>React + Vite</w:t>
            </w:r>
          </w:p>
        </w:tc>
        <w:tc>
          <w:tcPr>
            <w:tcW w:type="dxa" w:w="3240"/>
          </w:tcPr>
          <w:p>
            <w:pPr>
              <w:spacing w:after="0"/>
            </w:pPr>
            <w:r>
              <w:rPr>
                <w:sz w:val="17"/>
              </w:rPr>
              <w:t>Single-page AI workspace, chat interface, mode controls, prompts, responsive layout</w:t>
            </w:r>
          </w:p>
        </w:tc>
      </w:tr>
      <w:tr>
        <w:tc>
          <w:tcPr>
            <w:tcW w:type="dxa" w:w="3240"/>
          </w:tcPr>
          <w:p>
            <w:pPr>
              <w:spacing w:after="0"/>
            </w:pPr>
            <w:r>
              <w:rPr>
                <w:sz w:val="17"/>
              </w:rPr>
              <w:t>UI design</w:t>
            </w:r>
          </w:p>
        </w:tc>
        <w:tc>
          <w:tcPr>
            <w:tcW w:type="dxa" w:w="3240"/>
          </w:tcPr>
          <w:p>
            <w:pPr>
              <w:spacing w:after="0"/>
            </w:pPr>
            <w:r>
              <w:rPr>
                <w:sz w:val="17"/>
              </w:rPr>
              <w:t>CSS + Lucide icons</w:t>
            </w:r>
          </w:p>
        </w:tc>
        <w:tc>
          <w:tcPr>
            <w:tcW w:type="dxa" w:w="3240"/>
          </w:tcPr>
          <w:p>
            <w:pPr>
              <w:spacing w:after="0"/>
            </w:pPr>
            <w:r>
              <w:rPr>
                <w:sz w:val="17"/>
              </w:rPr>
              <w:t>Dark dashboard theme, navigation rail, message composer, status indicators</w:t>
            </w:r>
          </w:p>
        </w:tc>
      </w:tr>
      <w:tr>
        <w:tc>
          <w:tcPr>
            <w:tcW w:type="dxa" w:w="3240"/>
          </w:tcPr>
          <w:p>
            <w:pPr>
              <w:spacing w:after="0"/>
            </w:pPr>
            <w:r>
              <w:rPr>
                <w:sz w:val="17"/>
              </w:rPr>
              <w:t>Backend</w:t>
            </w:r>
          </w:p>
        </w:tc>
        <w:tc>
          <w:tcPr>
            <w:tcW w:type="dxa" w:w="3240"/>
          </w:tcPr>
          <w:p>
            <w:pPr>
              <w:spacing w:after="0"/>
            </w:pPr>
            <w:r>
              <w:rPr>
                <w:sz w:val="17"/>
              </w:rPr>
              <w:t>Python + FastAPI + Uvicorn</w:t>
            </w:r>
          </w:p>
        </w:tc>
        <w:tc>
          <w:tcPr>
            <w:tcW w:type="dxa" w:w="3240"/>
          </w:tcPr>
          <w:p>
            <w:pPr>
              <w:spacing w:after="0"/>
            </w:pPr>
            <w:r>
              <w:rPr>
                <w:sz w:val="17"/>
              </w:rPr>
              <w:t>REST service, endpoint routing, request validation, CORS and error handling</w:t>
            </w:r>
          </w:p>
        </w:tc>
      </w:tr>
      <w:tr>
        <w:tc>
          <w:tcPr>
            <w:tcW w:type="dxa" w:w="3240"/>
          </w:tcPr>
          <w:p>
            <w:pPr>
              <w:spacing w:after="0"/>
            </w:pPr>
            <w:r>
              <w:rPr>
                <w:sz w:val="17"/>
              </w:rPr>
              <w:t>Data models</w:t>
            </w:r>
          </w:p>
        </w:tc>
        <w:tc>
          <w:tcPr>
            <w:tcW w:type="dxa" w:w="3240"/>
          </w:tcPr>
          <w:p>
            <w:pPr>
              <w:spacing w:after="0"/>
            </w:pPr>
            <w:r>
              <w:rPr>
                <w:sz w:val="17"/>
              </w:rPr>
              <w:t>Pydantic</w:t>
            </w:r>
          </w:p>
        </w:tc>
        <w:tc>
          <w:tcPr>
            <w:tcW w:type="dxa" w:w="3240"/>
          </w:tcPr>
          <w:p>
            <w:pPr>
              <w:spacing w:after="0"/>
            </w:pPr>
            <w:r>
              <w:rPr>
                <w:sz w:val="17"/>
              </w:rPr>
              <w:t>Validated ChatRequest, ChatResponse, MathRequest and MathResponse schemas</w:t>
            </w:r>
          </w:p>
        </w:tc>
      </w:tr>
      <w:tr>
        <w:tc>
          <w:tcPr>
            <w:tcW w:type="dxa" w:w="3240"/>
          </w:tcPr>
          <w:p>
            <w:pPr>
              <w:spacing w:after="0"/>
            </w:pPr>
            <w:r>
              <w:rPr>
                <w:sz w:val="17"/>
              </w:rPr>
              <w:t>Intent routing</w:t>
            </w:r>
          </w:p>
        </w:tc>
        <w:tc>
          <w:tcPr>
            <w:tcW w:type="dxa" w:w="3240"/>
          </w:tcPr>
          <w:p>
            <w:pPr>
              <w:spacing w:after="0"/>
            </w:pPr>
            <w:r>
              <w:rPr>
                <w:sz w:val="17"/>
              </w:rPr>
              <w:t>Python rule-based router</w:t>
            </w:r>
          </w:p>
        </w:tc>
        <w:tc>
          <w:tcPr>
            <w:tcW w:type="dxa" w:w="3240"/>
          </w:tcPr>
          <w:p>
            <w:pPr>
              <w:spacing w:after="0"/>
            </w:pPr>
            <w:r>
              <w:rPr>
                <w:sz w:val="17"/>
              </w:rPr>
              <w:t>Classifies Auto requests as general, coding, or mathematics</w:t>
            </w:r>
          </w:p>
        </w:tc>
      </w:tr>
      <w:tr>
        <w:tc>
          <w:tcPr>
            <w:tcW w:type="dxa" w:w="3240"/>
          </w:tcPr>
          <w:p>
            <w:pPr>
              <w:spacing w:after="0"/>
            </w:pPr>
            <w:r>
              <w:rPr>
                <w:sz w:val="17"/>
              </w:rPr>
              <w:t>Math engine</w:t>
            </w:r>
          </w:p>
        </w:tc>
        <w:tc>
          <w:tcPr>
            <w:tcW w:type="dxa" w:w="3240"/>
          </w:tcPr>
          <w:p>
            <w:pPr>
              <w:spacing w:after="0"/>
            </w:pPr>
            <w:r>
              <w:rPr>
                <w:sz w:val="17"/>
              </w:rPr>
              <w:t>SymPy</w:t>
            </w:r>
          </w:p>
        </w:tc>
        <w:tc>
          <w:tcPr>
            <w:tcW w:type="dxa" w:w="3240"/>
          </w:tcPr>
          <w:p>
            <w:pPr>
              <w:spacing w:after="0"/>
            </w:pPr>
            <w:r>
              <w:rPr>
                <w:sz w:val="17"/>
              </w:rPr>
              <w:t>Exact equation solving, simplification, differentiation and integration</w:t>
            </w:r>
          </w:p>
        </w:tc>
      </w:tr>
      <w:tr>
        <w:tc>
          <w:tcPr>
            <w:tcW w:type="dxa" w:w="3240"/>
          </w:tcPr>
          <w:p>
            <w:pPr>
              <w:spacing w:after="0"/>
            </w:pPr>
            <w:r>
              <w:rPr>
                <w:sz w:val="17"/>
              </w:rPr>
              <w:t>AI provider</w:t>
            </w:r>
          </w:p>
        </w:tc>
        <w:tc>
          <w:tcPr>
            <w:tcW w:type="dxa" w:w="3240"/>
          </w:tcPr>
          <w:p>
            <w:pPr>
              <w:spacing w:after="0"/>
            </w:pPr>
            <w:r>
              <w:rPr>
                <w:sz w:val="17"/>
              </w:rPr>
              <w:t>OpenAI-compatible API (optional)</w:t>
            </w:r>
          </w:p>
        </w:tc>
        <w:tc>
          <w:tcPr>
            <w:tcW w:type="dxa" w:w="3240"/>
          </w:tcPr>
          <w:p>
            <w:pPr>
              <w:spacing w:after="0"/>
            </w:pPr>
            <w:r>
              <w:rPr>
                <w:sz w:val="17"/>
              </w:rPr>
              <w:t>Enhanced general and coding responses through backend-only configuration</w:t>
            </w:r>
          </w:p>
        </w:tc>
      </w:tr>
      <w:tr>
        <w:tc>
          <w:tcPr>
            <w:tcW w:type="dxa" w:w="3240"/>
          </w:tcPr>
          <w:p>
            <w:pPr>
              <w:spacing w:after="0"/>
            </w:pPr>
            <w:r>
              <w:rPr>
                <w:sz w:val="17"/>
              </w:rPr>
              <w:t>Testing / delivery</w:t>
            </w:r>
          </w:p>
        </w:tc>
        <w:tc>
          <w:tcPr>
            <w:tcW w:type="dxa" w:w="3240"/>
          </w:tcPr>
          <w:p>
            <w:pPr>
              <w:spacing w:after="0"/>
            </w:pPr>
            <w:r>
              <w:rPr>
                <w:sz w:val="17"/>
              </w:rPr>
              <w:t>Pytest, Docker, GitHub Actions</w:t>
            </w:r>
          </w:p>
        </w:tc>
        <w:tc>
          <w:tcPr>
            <w:tcW w:type="dxa" w:w="3240"/>
          </w:tcPr>
          <w:p>
            <w:pPr>
              <w:spacing w:after="0"/>
            </w:pPr>
            <w:r>
              <w:rPr>
                <w:sz w:val="17"/>
              </w:rPr>
              <w:t>Automated tests, repeatable builds, container support and CI validation</w:t>
            </w:r>
          </w:p>
        </w:tc>
      </w:tr>
    </w:tbl>
    <w:p>
      <w:pPr>
        <w:spacing w:after="20"/>
      </w:pPr>
    </w:p>
    <w:p>
      <w:pPr>
        <w:pStyle w:val="Heading5"/>
        <w:spacing w:before="180" w:after="100"/>
      </w:pPr>
      <w:r>
        <w:t>Document Ingestion Methodology</w:t>
      </w:r>
    </w:p>
    <w:p>
      <w:pPr>
        <w:pStyle w:val="BodyText"/>
        <w:spacing w:after="140" w:line="276" w:lineRule="auto"/>
      </w:pPr>
      <w:r>
        <w:t>HARVIX does not currently ingest documents or build a vector index. The current methodology starts from a user message and routes it directly to the appropriate assistant or mathematics tool. Document ingestion can be added later if the platform is extended with a retrieval-augmented knowledge base.</w:t>
      </w:r>
    </w:p>
    <w:p>
      <w:pPr>
        <w:jc w:val="center"/>
      </w:pPr>
      <w:r>
        <w:drawing>
          <wp:inline xmlns:a="http://schemas.openxmlformats.org/drawingml/2006/main" xmlns:pic="http://schemas.openxmlformats.org/drawingml/2006/picture">
            <wp:extent cx="5577840" cy="405395"/>
            <wp:docPr id="1724265420" name="Picture 1724265420"/>
            <wp:cNvGraphicFramePr>
              <a:graphicFrameLocks noChangeAspect="1"/>
            </wp:cNvGraphicFramePr>
            <a:graphic>
              <a:graphicData uri="http://schemas.openxmlformats.org/drawingml/2006/picture">
                <pic:pic>
                  <pic:nvPicPr>
                    <pic:cNvPr id="0" name="document-ingestion-flow.png"/>
                    <pic:cNvPicPr/>
                  </pic:nvPicPr>
                  <pic:blipFill>
                    <a:blip r:embed="rId31"/>
                    <a:stretch>
                      <a:fillRect/>
                    </a:stretch>
                  </pic:blipFill>
                  <pic:spPr>
                    <a:xfrm>
                      <a:off x="0" y="0"/>
                      <a:ext cx="5577840" cy="405395"/>
                    </a:xfrm>
                    <a:prstGeom prst="rect"/>
                  </pic:spPr>
                </pic:pic>
              </a:graphicData>
            </a:graphic>
          </wp:inline>
        </w:drawing>
      </w:r>
    </w:p>
    <w:p>
      <w:pPr>
        <w:spacing w:after="160"/>
        <w:jc w:val="center"/>
      </w:pPr>
      <w:r>
        <w:rPr>
          <w:i/>
          <w:color w:val="666666"/>
          <w:sz w:val="18"/>
        </w:rPr>
        <w:t>Figure 4.1: Document ingestion pipeline</w:t>
      </w:r>
    </w:p>
    <w:p>
      <w:pPr>
        <w:pStyle w:val="Heading5"/>
        <w:spacing w:before="180" w:after="100"/>
      </w:pPr>
      <w:r>
        <w:t>Query-Time Retrieval and Generation Methodology</w:t>
      </w:r>
    </w:p>
    <w:p>
      <w:pPr>
        <w:pStyle w:val="BodyText"/>
        <w:spacing w:after="140" w:line="276" w:lineRule="auto"/>
      </w:pPr>
      <w:r>
        <w:t>The implemented query-time flow receives the user message at POST /api/chat, determines the request mode, and creates a local or optional provider response. There is no retrieval step in the current version. A future RAG flow could retrieve relevant documentation, add it to the prompt, and return citations with the generated response.</w:t>
      </w:r>
    </w:p>
    <w:p>
      <w:pPr>
        <w:jc w:val="center"/>
      </w:pPr>
      <w:r>
        <w:drawing>
          <wp:inline xmlns:a="http://schemas.openxmlformats.org/drawingml/2006/main" xmlns:pic="http://schemas.openxmlformats.org/drawingml/2006/picture">
            <wp:extent cx="5577840" cy="532381"/>
            <wp:docPr id="1724265421" name="Picture 1724265421"/>
            <wp:cNvGraphicFramePr>
              <a:graphicFrameLocks noChangeAspect="1"/>
            </wp:cNvGraphicFramePr>
            <a:graphic>
              <a:graphicData uri="http://schemas.openxmlformats.org/drawingml/2006/picture">
                <pic:pic>
                  <pic:nvPicPr>
                    <pic:cNvPr id="0" name="query-generation-flow.png"/>
                    <pic:cNvPicPr/>
                  </pic:nvPicPr>
                  <pic:blipFill>
                    <a:blip r:embed="rId32"/>
                    <a:stretch>
                      <a:fillRect/>
                    </a:stretch>
                  </pic:blipFill>
                  <pic:spPr>
                    <a:xfrm>
                      <a:off x="0" y="0"/>
                      <a:ext cx="5577840" cy="532381"/>
                    </a:xfrm>
                    <a:prstGeom prst="rect"/>
                  </pic:spPr>
                </pic:pic>
              </a:graphicData>
            </a:graphic>
          </wp:inline>
        </w:drawing>
      </w:r>
    </w:p>
    <w:p>
      <w:pPr>
        <w:spacing w:after="160"/>
        <w:jc w:val="center"/>
      </w:pPr>
      <w:r>
        <w:rPr>
          <w:i/>
          <w:color w:val="666666"/>
          <w:sz w:val="18"/>
        </w:rPr>
        <w:t>Figure 4.2: Query-time retrieval and generation pipeline</w:t>
      </w:r>
    </w:p>
    <w:p>
      <w:pPr>
        <w:pStyle w:val="Heading5"/>
        <w:spacing w:before="180" w:after="100"/>
      </w:pPr>
      <w:r>
        <w:t>Authentication and Authorization Methodology</w:t>
      </w:r>
    </w:p>
    <w:p>
      <w:pPr>
        <w:pStyle w:val="BodyText"/>
        <w:spacing w:after="140" w:line="276" w:lineRule="auto"/>
      </w:pPr>
      <w:r>
        <w:t>Authentication and authorization are not implemented in the current single-workspace version. API keys are kept in backend environment variables, and the .env file is excluded from Git. Future JWT or OAuth authentication can protect user history and administrative routes.</w:t>
      </w:r>
    </w:p>
    <w:p>
      <w:pPr>
        <w:jc w:val="center"/>
      </w:pPr>
      <w:r>
        <w:drawing>
          <wp:inline xmlns:a="http://schemas.openxmlformats.org/drawingml/2006/main" xmlns:pic="http://schemas.openxmlformats.org/drawingml/2006/picture">
            <wp:extent cx="5577840" cy="526990"/>
            <wp:docPr id="1724265422" name="Picture 1724265422"/>
            <wp:cNvGraphicFramePr>
              <a:graphicFrameLocks noChangeAspect="1"/>
            </wp:cNvGraphicFramePr>
            <a:graphic>
              <a:graphicData uri="http://schemas.openxmlformats.org/drawingml/2006/picture">
                <pic:pic>
                  <pic:nvPicPr>
                    <pic:cNvPr id="0" name="authentication-flow.png"/>
                    <pic:cNvPicPr/>
                  </pic:nvPicPr>
                  <pic:blipFill>
                    <a:blip r:embed="rId33"/>
                    <a:stretch>
                      <a:fillRect/>
                    </a:stretch>
                  </pic:blipFill>
                  <pic:spPr>
                    <a:xfrm>
                      <a:off x="0" y="0"/>
                      <a:ext cx="5577840" cy="526990"/>
                    </a:xfrm>
                    <a:prstGeom prst="rect"/>
                  </pic:spPr>
                </pic:pic>
              </a:graphicData>
            </a:graphic>
          </wp:inline>
        </w:drawing>
      </w:r>
    </w:p>
    <w:p>
      <w:pPr>
        <w:spacing w:after="160"/>
        <w:jc w:val="center"/>
      </w:pPr>
      <w:r>
        <w:rPr>
          <w:i/>
          <w:color w:val="666666"/>
          <w:sz w:val="18"/>
        </w:rPr>
        <w:t>Figure 4.3: Registration and login authentication flow</w:t>
      </w:r>
    </w:p>
    <w:p>
      <w:pPr>
        <w:pStyle w:val="Heading5"/>
        <w:spacing w:before="180" w:after="100"/>
      </w:pPr>
      <w:r>
        <w:t>Admin Knowledge Base Management Workflow</w:t>
      </w:r>
    </w:p>
    <w:p>
      <w:pPr>
        <w:pStyle w:val="BodyText"/>
        <w:spacing w:after="140" w:line="276" w:lineRule="auto"/>
      </w:pPr>
      <w:r>
        <w:t>The current project does not include an administrator knowledge-base workflow. Future versions may provide document upload, validation, indexing, rebuild, and status controls for administrators.</w:t>
      </w:r>
    </w:p>
    <w:p>
      <w:pPr>
        <w:pStyle w:val="Heading5"/>
        <w:spacing w:before="180" w:after="100"/>
      </w:pPr>
      <w:r>
        <w:t>Support Ticket and Feedback Methodology</w:t>
      </w:r>
    </w:p>
    <w:p>
      <w:pPr>
        <w:pStyle w:val="BodyText"/>
        <w:spacing w:after="140" w:line="276" w:lineRule="auto"/>
      </w:pPr>
      <w:r>
        <w:t>Support tickets and response feedback are outside the current implementation. The present application focuses on direct conversational assistance; ticket creation, ratings, and feedback analytics can be added around the chat experience later.</w:t>
      </w:r>
    </w:p>
    <w:p>
      <w:pPr>
        <w:pStyle w:val="Heading5"/>
        <w:spacing w:before="180" w:after="100"/>
      </w:pPr>
      <w:r>
        <w:t>Analytics Methodology</w:t>
      </w:r>
    </w:p>
    <w:p>
      <w:pPr>
        <w:pStyle w:val="BodyText"/>
        <w:spacing w:after="140" w:line="276" w:lineRule="auto"/>
      </w:pPr>
      <w:r>
        <w:t>Each chat response includes elapsed_ms, allowing immediate response-time observation. Persistent analytics are not currently stored. A future analytics service can record request volume, selected modes, response times, errors, and user feedback.</w:t>
      </w:r>
    </w:p>
    <w:p>
      <w:pPr>
        <w:pStyle w:val="Heading5"/>
        <w:spacing w:before="180" w:after="100"/>
      </w:pPr>
      <w:r>
        <w:t>Grounding and Hallucination-Prevention Strategy</w:t>
      </w:r>
    </w:p>
    <w:p>
      <w:pPr>
        <w:pStyle w:val="BodyText"/>
        <w:spacing w:after="140" w:line="276" w:lineRule="auto"/>
      </w:pPr>
      <w:r>
        <w:t>HARVIX reduces calculation risk by routing mathematical requests to SymPy rather than asking a language model to guess. The system prompt instructs the optional provider to be concise, ask for clarification when needed, use calculation tools for mathematics, and never fabricate results. Full document grounding is future scope because the current release has no retrieval database.</w:t>
      </w:r>
    </w:p>
    <w:p>
      <w:pPr>
        <w:pStyle w:val="Heading5"/>
        <w:spacing w:before="180" w:after="100"/>
      </w:pPr>
      <w:r>
        <w:t>Working of Retrieval-Augmented Generation (RAG)</w:t>
      </w:r>
    </w:p>
    <w:p>
      <w:pPr>
        <w:pStyle w:val="BodyText"/>
        <w:spacing w:after="140" w:line="276" w:lineRule="auto"/>
      </w:pPr>
      <w:r>
        <w:t>RAG is documented here as a future extension rather than a claim about the current implementation. A future HARVIX RAG workflow would load approved documents, split them into chunks, create embeddings, retrieve relevant chunks for a question, and pass the retrieved context to the language model before generating an answer.</w:t>
      </w:r>
    </w:p>
    <w:p>
      <w:pPr>
        <w:pStyle w:val="Heading5"/>
        <w:spacing w:before="180" w:after="100"/>
      </w:pPr>
      <w:r>
        <w:t>Advantages of Retrieval-Augmented Generation</w:t>
      </w:r>
    </w:p>
    <w:p>
      <w:pPr>
        <w:pStyle w:val="BodyText"/>
        <w:spacing w:after="140" w:line="276" w:lineRule="auto"/>
      </w:pPr>
      <w:r>
        <w:t>If added in the future, RAG could provide organization-specific answers, reduce unsupported responses, support citations, and allow knowledge updates without retraining the language model. The present HARVIX release instead provides a smaller, deterministic architecture centered on intent routing and SymPy.</w:t>
      </w:r>
    </w:p>
    <w:p>
      <w:pPr>
        <w:pStyle w:val="Heading1"/>
        <w:spacing w:before="280" w:after="100"/>
      </w:pPr>
      <w:r>
        <w:t>CHAPTER 5</w:t>
      </w:r>
    </w:p>
    <w:p>
      <w:pPr>
        <w:pStyle w:val="Heading2"/>
        <w:spacing w:before="180" w:after="100"/>
      </w:pPr>
      <w:r>
        <w:t>Implementation</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request models, intent router, SymPy math engine, local responses, and optional language-model adapter. Tests are kept in a separate backend/tests directory.</w:t>
      </w:r>
    </w:p>
    <w:p>
      <w:pPr>
        <w:jc w:val="center"/>
      </w:pPr>
      <w:r>
        <w:drawing>
          <wp:inline xmlns:a="http://schemas.openxmlformats.org/drawingml/2006/main" xmlns:pic="http://schemas.openxmlformats.org/drawingml/2006/picture">
            <wp:extent cx="5577840" cy="2809795"/>
            <wp:docPr id="1724265423" name="Picture 1724265423"/>
            <wp:cNvGraphicFramePr>
              <a:graphicFrameLocks noChangeAspect="1"/>
            </wp:cNvGraphicFramePr>
            <a:graphic>
              <a:graphicData uri="http://schemas.openxmlformats.org/drawingml/2006/picture">
                <pic:pic>
                  <pic:nvPicPr>
                    <pic:cNvPr id="0" name="backend-project-structure.png"/>
                    <pic:cNvPicPr/>
                  </pic:nvPicPr>
                  <pic:blipFill>
                    <a:blip r:embed="rId34"/>
                    <a:stretch>
                      <a:fillRect/>
                    </a:stretch>
                  </pic:blipFill>
                  <pic:spPr>
                    <a:xfrm>
                      <a:off x="0" y="0"/>
                      <a:ext cx="5577840" cy="2809795"/>
                    </a:xfrm>
                    <a:prstGeom prst="rect"/>
                  </pic:spPr>
                </pic:pic>
              </a:graphicData>
            </a:graphic>
          </wp:inline>
        </w:drawing>
      </w:r>
    </w:p>
    <w:p>
      <w:pPr>
        <w:spacing w:after="160"/>
        <w:jc w:val="center"/>
      </w:pPr>
      <w:r>
        <w:rPr>
          <w:i/>
          <w:color w:val="666666"/>
          <w:sz w:val="18"/>
        </w:rPr>
        <w:t>HARVIX backend project structure</w:t>
      </w:r>
    </w:p>
    <w:p>
      <w:pPr>
        <w:pStyle w:val="Heading5"/>
        <w:spacing w:before="180" w:after="100"/>
      </w:pPr>
      <w:r>
        <w:t>Authentication Implementation</w:t>
      </w:r>
    </w:p>
    <w:p>
      <w:pPr>
        <w:pStyle w:val="BodyText"/>
        <w:spacing w:after="140" w:line="276" w:lineRule="auto"/>
      </w:pPr>
      <w:r>
        <w:t>Authentication is not implemented in the current version. The application is delivered as a core AI workspace demonstration. Future implementation can add secure password hashing, JWT sessions, Google login, and user-specific access to saved conversations.</w:t>
      </w:r>
    </w:p>
    <w:p>
      <w:pPr>
        <w:pStyle w:val="Heading5"/>
        <w:spacing w:before="180" w:after="100"/>
      </w:pPr>
      <w:r>
        <w:t>Multi-Format Document Ingestion</w:t>
      </w:r>
    </w:p>
    <w:p>
      <w:pPr>
        <w:pStyle w:val="BodyText"/>
        <w:spacing w:after="140" w:line="276" w:lineRule="auto"/>
      </w:pPr>
      <w:r>
        <w:t>Multi-format document ingestion is not part of the current HARVIX implementation. The application currently processes user messages directly. PDF, DOCX, TXT, and Markdown ingestion can be added if a future knowledge-base and RAG module is required.</w:t>
      </w:r>
    </w:p>
    <w:p>
      <w:pPr>
        <w:pStyle w:val="Heading5"/>
        <w:spacing w:before="180" w:after="100"/>
      </w:pPr>
      <w:r>
        <w:t>Chat Endpoint with Background Analytics Logging</w:t>
      </w:r>
    </w:p>
    <w:p>
      <w:pPr>
        <w:pStyle w:val="BodyText"/>
        <w:spacing w:after="140" w:line="276" w:lineRule="auto"/>
      </w:pPr>
      <w:r>
        <w:t>The POST /api/chat endpoint accepts a message, optional mode, and recent history. It detects the intent, creates a local response, and attempts optional provider generation when configured. The response returns reply, mode, elapsed_ms, and sources. Persistent background analytics logging is future work; elapsed time is returned immediately for basic monitoring.</w:t>
      </w:r>
    </w:p>
    <w:p>
      <w:pPr>
        <w:pStyle w:val="Heading5"/>
        <w:spacing w:before="180" w:after="100"/>
      </w:pPr>
      <w:r>
        <w:t>Knowledge Base Upload and Rebuild</w:t>
      </w:r>
    </w:p>
    <w:p>
      <w:pPr>
        <w:pStyle w:val="BodyText"/>
        <w:spacing w:after="140" w:line="276" w:lineRule="auto"/>
      </w:pPr>
      <w:r>
        <w:t>Knowledge-base upload and rebuild are not implemented in the current release. The current system does not claim to index organizational documents or retrieve document chunks.</w:t>
      </w:r>
    </w:p>
    <w:p>
      <w:pPr>
        <w:pStyle w:val="Heading5"/>
        <w:spacing w:before="180" w:after="100"/>
      </w:pPr>
      <w:r>
        <w:t>Frontend Route Protection</w:t>
      </w:r>
    </w:p>
    <w:p>
      <w:pPr>
        <w:pStyle w:val="BodyText"/>
        <w:spacing w:after="140" w:line="276" w:lineRule="auto"/>
      </w:pPr>
      <w:r>
        <w:t>The current dashboard is a single workspace and does not require login-based route protection. Future authenticated versions can add guest and protected route guards so that user and administrator areas are separated.</w:t>
      </w:r>
    </w:p>
    <w:p>
      <w:pPr>
        <w:jc w:val="center"/>
      </w:pPr>
      <w:r>
        <w:drawing>
          <wp:inline xmlns:a="http://schemas.openxmlformats.org/drawingml/2006/main" xmlns:pic="http://schemas.openxmlformats.org/drawingml/2006/picture">
            <wp:extent cx="5577840" cy="4797067"/>
            <wp:docPr id="1724265424" name="Picture 1724265424"/>
            <wp:cNvGraphicFramePr>
              <a:graphicFrameLocks noChangeAspect="1"/>
            </wp:cNvGraphicFramePr>
            <a:graphic>
              <a:graphicData uri="http://schemas.openxmlformats.org/drawingml/2006/picture">
                <pic:pic>
                  <pic:nvPicPr>
                    <pic:cNvPr id="0" name="dashboard-screenshot.png"/>
                    <pic:cNvPicPr/>
                  </pic:nvPicPr>
                  <pic:blipFill>
                    <a:blip r:embed="rId35"/>
                    <a:stretch>
                      <a:fillRect/>
                    </a:stretch>
                  </pic:blipFill>
                  <pic:spPr>
                    <a:xfrm>
                      <a:off x="0" y="0"/>
                      <a:ext cx="5577840" cy="4797067"/>
                    </a:xfrm>
                    <a:prstGeom prst="rect"/>
                  </pic:spPr>
                </pic:pic>
              </a:graphicData>
            </a:graphic>
          </wp:inline>
        </w:drawing>
      </w:r>
    </w:p>
    <w:p>
      <w:pPr>
        <w:spacing w:after="160"/>
        <w:jc w:val="center"/>
      </w:pPr>
      <w:r>
        <w:t>Implementation screenshot: HARVIX dashboard interface</w:t>
      </w:r>
    </w:p>
    <w:p>
      <w:pPr>
        <w:jc w:val="center"/>
      </w:pPr>
      <w:r>
        <w:drawing>
          <wp:inline xmlns:a="http://schemas.openxmlformats.org/drawingml/2006/main" xmlns:pic="http://schemas.openxmlformats.org/drawingml/2006/picture">
            <wp:extent cx="5577840" cy="1720323"/>
            <wp:docPr id="1724265430" name="Picture 1724265430"/>
            <wp:cNvGraphicFramePr>
              <a:graphicFrameLocks noChangeAspect="1"/>
            </wp:cNvGraphicFramePr>
            <a:graphic>
              <a:graphicData uri="http://schemas.openxmlformats.org/drawingml/2006/picture">
                <pic:pic>
                  <pic:nvPicPr>
                    <pic:cNvPr id="0" name="api-output-screenshot.png"/>
                    <pic:cNvPicPr/>
                  </pic:nvPicPr>
                  <pic:blipFill>
                    <a:blip r:embed="rId41"/>
                    <a:stretch>
                      <a:fillRect/>
                    </a:stretch>
                  </pic:blipFill>
                  <pic:spPr>
                    <a:xfrm>
                      <a:off x="0" y="0"/>
                      <a:ext cx="5577840" cy="1720323"/>
                    </a:xfrm>
                    <a:prstGeom prst="rect"/>
                  </pic:spPr>
                </pic:pic>
              </a:graphicData>
            </a:graphic>
          </wp:inline>
        </w:drawing>
      </w:r>
    </w:p>
    <w:p>
      <w:pPr>
        <w:jc w:val="center"/>
      </w:pPr>
      <w:r>
        <w:rPr>
          <w:i/>
        </w:rPr>
        <w:t>Output screenshot: HARVIX API functional test results</w:t>
      </w:r>
    </w:p>
    <w:p>
      <w:pPr>
        <w:jc w:val="center"/>
      </w:pPr>
      <w:r>
        <w:drawing>
          <wp:inline xmlns:a="http://schemas.openxmlformats.org/drawingml/2006/main" xmlns:pic="http://schemas.openxmlformats.org/drawingml/2006/picture">
            <wp:extent cx="5577840" cy="3478811"/>
            <wp:docPr id="1724265431" name="Picture 1724265431"/>
            <wp:cNvGraphicFramePr>
              <a:graphicFrameLocks noChangeAspect="1"/>
            </wp:cNvGraphicFramePr>
            <a:graphic>
              <a:graphicData uri="http://schemas.openxmlformats.org/drawingml/2006/picture">
                <pic:pic>
                  <pic:nvPicPr>
                    <pic:cNvPr id="0" name="backend-code-screenshot.png"/>
                    <pic:cNvPicPr/>
                  </pic:nvPicPr>
                  <pic:blipFill>
                    <a:blip r:embed="rId42"/>
                    <a:stretch>
                      <a:fillRect/>
                    </a:stretch>
                  </pic:blipFill>
                  <pic:spPr>
                    <a:xfrm>
                      <a:off x="0" y="0"/>
                      <a:ext cx="5577840" cy="3478811"/>
                    </a:xfrm>
                    <a:prstGeom prst="rect"/>
                  </pic:spPr>
                </pic:pic>
              </a:graphicData>
            </a:graphic>
          </wp:inline>
        </w:drawing>
      </w:r>
    </w:p>
    <w:p>
      <w:pPr>
        <w:jc w:val="center"/>
      </w:pPr>
      <w:r>
        <w:rPr>
          <w:i/>
        </w:rPr>
        <w:t>Code screenshot: FastAPI and SymPy backend implementation</w:t>
      </w:r>
    </w:p>
    <w:p>
      <w:pPr>
        <w:pStyle w:val="BodyText"/>
        <w:spacing w:after="140" w:line="276" w:lineRule="auto"/>
      </w:pPr>
      <w:r>
        <w:t>The website layout was designed as a focused workspace rather than a conventional multi-page application. The left navigation area provides the HARVIX identity, new-conversation control, workspace modes, and recent chats. The main area provides the conversation context and message composer. This arrangement keeps the most frequently used actions visible while leaving sufficient space for code and mathematical explanations.</w:t>
      </w:r>
    </w:p>
    <w:p>
      <w:pPr>
        <w:pStyle w:val="BodyText"/>
        <w:spacing w:after="140" w:line="276" w:lineRule="auto"/>
      </w:pPr>
      <w:r>
        <w:t>The dashboard also communicates service state to the user. Loading feedback is displayed while a request is being processed, response timing is returned by the backend, and controlled error messages are shown when an expression cannot be parsed. These small interaction details help users distinguish a slow request, an invalid input, and a successful answer.</w:t>
      </w:r>
    </w:p>
    <w:p>
      <w:pPr>
        <w:pStyle w:val="BodyText"/>
        <w:spacing w:after="140" w:line="276" w:lineRule="auto"/>
      </w:pPr>
      <w:r>
        <w:t>The Math mode is connected to the SymPy processing layer rather than treating the language model as a calculator. Expressions are parsed with transformations that support implicit multiplication and caret-style powers. Equation solving, simplification, differentiation, and integration return a structured result, a list of processing steps, and a verification flag. This design makes the mathematical behavior easier to test and explain.</w:t>
      </w:r>
    </w:p>
    <w:p>
      <w:pPr>
        <w:pStyle w:val="BodyText"/>
        <w:spacing w:after="140" w:line="276" w:lineRule="auto"/>
      </w:pPr>
      <w:r>
        <w:t>The Coding mode provides a focused workspace for software-development questions. A user can request a new code example, ask for an explanation of an existing function, describe an error, or request a refactoring or language conversion. In the current local mode, HARVIX returns a safe guidance response; when an OpenAI-compatible provider is configured, the same request can receive a richer generated answer without changing the dashboard.</w:t>
      </w:r>
    </w:p>
    <w:p>
      <w:pPr>
        <w:pStyle w:val="BodyText"/>
        <w:spacing w:after="140" w:line="276" w:lineRule="auto"/>
      </w:pPr>
      <w:r>
        <w:t>The Auto mode is designed for convenience. It examines the wording of the request and identifies common mathematics and programming indicators. Terms such as equation, derivative, integral, solve, or calculate are directed toward the mathematics path, while language names, debugging terms, code blocks, and programming concepts are directed toward the coding path. Requests that do not match either category use the general response path.</w:t>
      </w:r>
    </w:p>
    <w:p>
      <w:pPr>
        <w:pStyle w:val="BodyText"/>
        <w:spacing w:after="140" w:line="276" w:lineRule="auto"/>
      </w:pPr>
      <w:r>
        <w:t>The frontend and backend communicate through a small set of JSON REST calls. When the user submits a prompt, the dashboard sends the message, selected mode, and recent history to the chat endpoint. The backend validates the payload before routing the request. This separation keeps the interface responsive and allows the service to be tested independently from the browser.</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Pr>
                <w:sz w:val="17"/>
              </w:rPr>
              <w:t>Endpoint</w:t>
            </w:r>
          </w:p>
        </w:tc>
        <w:tc>
          <w:tcPr>
            <w:tcW w:type="dxa" w:w="3240"/>
            <w:vAlign w:val="center"/>
            <w:shd w:fill="17365D"/>
          </w:tcPr>
          <w:p>
            <w:pPr>
              <w:spacing w:after="0"/>
            </w:pPr>
            <w:r>
              <w:rPr>
                <w:sz w:val="17"/>
              </w:rPr>
              <w:t>Method</w:t>
            </w:r>
          </w:p>
        </w:tc>
        <w:tc>
          <w:tcPr>
            <w:tcW w:type="dxa" w:w="3240"/>
            <w:vAlign w:val="center"/>
            <w:shd w:fill="17365D"/>
          </w:tcPr>
          <w:p>
            <w:pPr>
              <w:spacing w:after="0"/>
            </w:pPr>
            <w:r>
              <w:rPr>
                <w:sz w:val="17"/>
              </w:rPr>
              <w:t>HARVIX Function</w:t>
            </w:r>
          </w:p>
        </w:tc>
      </w:tr>
      <w:tr>
        <w:tc>
          <w:tcPr>
            <w:tcW w:type="dxa" w:w="3240"/>
          </w:tcPr>
          <w:p>
            <w:pPr>
              <w:spacing w:after="0"/>
            </w:pPr>
            <w:r>
              <w:rPr>
                <w:sz w:val="17"/>
              </w:rPr>
              <w:t>/api/health</w:t>
            </w:r>
          </w:p>
        </w:tc>
        <w:tc>
          <w:tcPr>
            <w:tcW w:type="dxa" w:w="3240"/>
          </w:tcPr>
          <w:p>
            <w:pPr>
              <w:spacing w:after="0"/>
            </w:pPr>
            <w:r>
              <w:rPr>
                <w:sz w:val="17"/>
              </w:rPr>
              <w:t>GET</w:t>
            </w:r>
          </w:p>
        </w:tc>
        <w:tc>
          <w:tcPr>
            <w:tcW w:type="dxa" w:w="3240"/>
          </w:tcPr>
          <w:p>
            <w:pPr>
              <w:spacing w:after="0"/>
            </w:pPr>
            <w:r>
              <w:rPr>
                <w:sz w:val="17"/>
              </w:rPr>
              <w:t>Returns service status, service name and timestamp for operational monitoring</w:t>
            </w:r>
          </w:p>
        </w:tc>
      </w:tr>
      <w:tr>
        <w:tc>
          <w:tcPr>
            <w:tcW w:type="dxa" w:w="3240"/>
          </w:tcPr>
          <w:p>
            <w:pPr>
              <w:spacing w:after="0"/>
            </w:pPr>
            <w:r>
              <w:rPr>
                <w:sz w:val="17"/>
              </w:rPr>
              <w:t>/api/chat</w:t>
            </w:r>
          </w:p>
        </w:tc>
        <w:tc>
          <w:tcPr>
            <w:tcW w:type="dxa" w:w="3240"/>
          </w:tcPr>
          <w:p>
            <w:pPr>
              <w:spacing w:after="0"/>
            </w:pPr>
            <w:r>
              <w:rPr>
                <w:sz w:val="17"/>
              </w:rPr>
              <w:t>POST</w:t>
            </w:r>
          </w:p>
        </w:tc>
        <w:tc>
          <w:tcPr>
            <w:tcW w:type="dxa" w:w="3240"/>
          </w:tcPr>
          <w:p>
            <w:pPr>
              <w:spacing w:after="0"/>
            </w:pPr>
            <w:r>
              <w:rPr>
                <w:sz w:val="17"/>
              </w:rPr>
              <w:t>Validates a message, detects intent, returns reply, mode, elapsed_ms and sources</w:t>
            </w:r>
          </w:p>
        </w:tc>
      </w:tr>
      <w:tr>
        <w:tc>
          <w:tcPr>
            <w:tcW w:type="dxa" w:w="3240"/>
          </w:tcPr>
          <w:p>
            <w:pPr>
              <w:spacing w:after="0"/>
            </w:pPr>
            <w:r>
              <w:rPr>
                <w:sz w:val="17"/>
              </w:rPr>
              <w:t>/api/math</w:t>
            </w:r>
          </w:p>
        </w:tc>
        <w:tc>
          <w:tcPr>
            <w:tcW w:type="dxa" w:w="3240"/>
          </w:tcPr>
          <w:p>
            <w:pPr>
              <w:spacing w:after="0"/>
            </w:pPr>
            <w:r>
              <w:rPr>
                <w:sz w:val="17"/>
              </w:rPr>
              <w:t>POST</w:t>
            </w:r>
          </w:p>
        </w:tc>
        <w:tc>
          <w:tcPr>
            <w:tcW w:type="dxa" w:w="3240"/>
          </w:tcPr>
          <w:p>
            <w:pPr>
              <w:spacing w:after="0"/>
            </w:pPr>
            <w:r>
              <w:rPr>
                <w:sz w:val="17"/>
              </w:rPr>
              <w:t>Parses an expression and returns symbolic result, processing steps and verified flag</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supplied report template described an unrelated RAG application; the Chapter 1–6 content was rewritten to match the implemented HARVIX project while preserving the template headings.</w:t>
      </w:r>
    </w:p>
    <w:p>
      <w:pPr>
        <w:jc w:val="center"/>
      </w:pPr>
      <w:r>
        <w:drawing>
          <wp:inline xmlns:a="http://schemas.openxmlformats.org/drawingml/2006/main" xmlns:pic="http://schemas.openxmlformats.org/drawingml/2006/picture">
            <wp:extent cx="5577840" cy="12071018"/>
            <wp:docPr id="1724265427" name="Picture 1724265427"/>
            <wp:cNvGraphicFramePr>
              <a:graphicFrameLocks noChangeAspect="1"/>
            </wp:cNvGraphicFramePr>
            <a:graphic>
              <a:graphicData uri="http://schemas.openxmlformats.org/drawingml/2006/picture">
                <pic:pic>
                  <pic:nvPicPr>
                    <pic:cNvPr id="0" name="website-mobile-screenshot.png"/>
                    <pic:cNvPicPr/>
                  </pic:nvPicPr>
                  <pic:blipFill>
                    <a:blip r:embed="rId38"/>
                    <a:stretch>
                      <a:fillRect/>
                    </a:stretch>
                  </pic:blipFill>
                  <pic:spPr>
                    <a:xfrm>
                      <a:off x="0" y="0"/>
                      <a:ext cx="5577840" cy="12071018"/>
                    </a:xfrm>
                    <a:prstGeom prst="rect"/>
                  </pic:spPr>
                </pic:pic>
              </a:graphicData>
            </a:graphic>
          </wp:inline>
        </w:drawing>
      </w:r>
    </w:p>
    <w:p>
      <w:pPr>
        <w:jc w:val="center"/>
      </w:pPr>
      <w:r>
        <w:rPr>
          <w:i/>
          <w:sz w:val="18"/>
        </w:rPr>
        <w:t>Website implementation screenshot: responsive mobile layout</w:t>
      </w:r>
    </w:p>
    <w:p>
      <w:pPr>
        <w:jc w:val="center"/>
      </w:pPr>
      <w:r>
        <w:drawing>
          <wp:inline xmlns:a="http://schemas.openxmlformats.org/drawingml/2006/main" xmlns:pic="http://schemas.openxmlformats.org/drawingml/2006/picture">
            <wp:extent cx="5577840" cy="3873500"/>
            <wp:docPr id="1724265428" name="Picture 1724265428"/>
            <wp:cNvGraphicFramePr>
              <a:graphicFrameLocks noChangeAspect="1"/>
            </wp:cNvGraphicFramePr>
            <a:graphic>
              <a:graphicData uri="http://schemas.openxmlformats.org/drawingml/2006/picture">
                <pic:pic>
                  <pic:nvPicPr>
                    <pic:cNvPr id="0" name="website-desktop-screenshot.png"/>
                    <pic:cNvPicPr/>
                  </pic:nvPicPr>
                  <pic:blipFill>
                    <a:blip r:embed="rId39"/>
                    <a:stretch>
                      <a:fillRect/>
                    </a:stretch>
                  </pic:blipFill>
                  <pic:spPr>
                    <a:xfrm>
                      <a:off x="0" y="0"/>
                      <a:ext cx="5577840" cy="3873500"/>
                    </a:xfrm>
                    <a:prstGeom prst="rect"/>
                  </pic:spPr>
                </pic:pic>
              </a:graphicData>
            </a:graphic>
          </wp:inline>
        </w:drawing>
      </w:r>
    </w:p>
    <w:p>
      <w:pPr>
        <w:jc w:val="center"/>
      </w:pPr>
      <w:r>
        <w:rPr>
          <w:i/>
          <w:sz w:val="18"/>
        </w:rPr>
        <w:t>Website implementation screenshot: desktop dashboard layout</w:t>
      </w:r>
    </w:p>
    <w:p>
      <w:pPr>
        <w:pStyle w:val="BodyText"/>
        <w:spacing w:after="140"/>
      </w:pPr>
      <w:r>
        <w:t>The responsive comparison below presents the same HARVIX website at desktop and mobile dimensions. It shows that the core workspace identity, navigation options, assistant content, and message composer remain consistent while the available layout width changes. This comparison provides additional website-level evidence for the responsive design described in the implementation methodology.</w:t>
      </w:r>
    </w:p>
    <w:p>
      <w:pPr>
        <w:jc w:val="center"/>
      </w:pPr>
      <w:r>
        <w:drawing>
          <wp:inline xmlns:a="http://schemas.openxmlformats.org/drawingml/2006/main" xmlns:pic="http://schemas.openxmlformats.org/drawingml/2006/picture">
            <wp:extent cx="5577840" cy="3421280"/>
            <wp:docPr id="1724265429" name="Picture 1724265429"/>
            <wp:cNvGraphicFramePr>
              <a:graphicFrameLocks noChangeAspect="1"/>
            </wp:cNvGraphicFramePr>
            <a:graphic>
              <a:graphicData uri="http://schemas.openxmlformats.org/drawingml/2006/picture">
                <pic:pic>
                  <pic:nvPicPr>
                    <pic:cNvPr id="0" name="website-responsive-comparison.png"/>
                    <pic:cNvPicPr/>
                  </pic:nvPicPr>
                  <pic:blipFill>
                    <a:blip r:embed="rId40"/>
                    <a:stretch>
                      <a:fillRect/>
                    </a:stretch>
                  </pic:blipFill>
                  <pic:spPr>
                    <a:xfrm>
                      <a:off x="0" y="0"/>
                      <a:ext cx="5577840" cy="3421280"/>
                    </a:xfrm>
                    <a:prstGeom prst="rect"/>
                  </pic:spPr>
                </pic:pic>
              </a:graphicData>
            </a:graphic>
          </wp:inline>
        </w:drawing>
      </w:r>
    </w:p>
    <w:p>
      <w:pPr>
        <w:jc w:val="center"/>
      </w:pPr>
      <w:r>
        <w:rPr>
          <w:i/>
          <w:sz w:val="18"/>
        </w:rPr>
        <w:t>Website responsive comparison: desktop and mobile HARVIX layouts</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 The final template-based report was rendered to PDF to verify that the preserved first five pages and new chapters display correctly.</w:t>
      </w:r>
    </w:p>
    <w:p>
      <w:pPr>
        <w:pStyle w:val="BodyText"/>
        <w:spacing w:after="140" w:line="276" w:lineRule="auto"/>
      </w:pPr>
      <w:r>
        <w:t>The validation process has practical limitations. It confirms endpoint behavior and visual rendering for the implemented features, but it does not claim that arbitrary user code is safe to execute, that a language-model response is always correct, or that the future authentication and document-retrieval modules are already available. The report therefore distinguishes tested current features from clearly identified future extensions.</w:t>
      </w:r>
    </w:p>
    <w:p>
      <w:pPr>
        <w:pStyle w:val="BodyText"/>
        <w:spacing w:after="140" w:line="276" w:lineRule="auto"/>
      </w:pPr>
      <w:r>
        <w:t>The application is also prepared for repeatable delivery. Python dependencies are listed in requirements.txt, the frontend has a production build command, Docker configuration supports container execution, and GitHub Actions runs automated validation after repository changes. These practices reduce the chance that a locally working interface will fail when the project is cloned, tested, or deployed in another environment.</w:t>
      </w:r>
    </w:p>
    <w:p>
      <w:pPr>
        <w:pStyle w:val="BodyText"/>
        <w:spacing w:after="140" w:line="276" w:lineRule="auto"/>
      </w:pPr>
      <w:r>
        <w:t>The source-code screenshot documents the central backend implementation used by the project. It shows the FastAPI application declaration, CORS configuration, Pydantic request models, SymPy imports, intent-routing function, and service endpoints. Including the source excerpt makes the report traceable: the screenshots show the user-facing result, while the code image shows how the result is produced.</w:t>
      </w:r>
    </w:p>
    <w:p>
      <w:pPr>
        <w:pStyle w:val="BodyText"/>
        <w:spacing w:after="140" w:line="276" w:lineRule="auto"/>
      </w:pPr>
      <w:r>
        <w:t>The mathematics output was checked using the quadratic expression 2*x^2 - 5*x + 3 = 0. The service returned the symbolic roots 1 and 3/2, a set of processing steps, and a verified flag. A coding request such as “Debug this Python function” was automatically classified as coding. The API output screenshot included in this report records these successful responses as implementation evidence.</w:t>
      </w:r>
    </w:p>
    <w:p>
      <w:pPr>
        <w:pStyle w:val="BodyText"/>
        <w:spacing w:after="140" w:line="276" w:lineRule="auto"/>
      </w:pPr>
      <w:r>
        <w:t>The implementation was validated at the interface level and at the service level. At the interface level, the dashboard was opened in Chromium at desktop and mobile dimensions and checked for visible navigation, message content, mode controls, prompt suggestions, and the composer. At the service level, the health endpoint, mathematics endpoint, and chat endpoint were called independently. The two validation layers help identify whether a problem belongs to the browser presentation or to the backend response.</w:t>
      </w:r>
    </w:p>
    <w:p>
      <w:pPr>
        <w:pStyle w:val="BodyText"/>
        <w:spacing w:after="140" w:line="276" w:lineRule="auto"/>
      </w:pPr>
      <w:r>
        <w:t>The mobile website view demonstrates responsive behavior at a narrow viewport. The navigation remains accessible, the main conversation area is allowed to occupy the available width, and the composer remains visible near the bottom of the workspace. Responsive behavior is important because students may access the assistant from a phone while reviewing a formula, testing a code idea, or checking an API response.</w:t>
      </w:r>
    </w:p>
    <w:p>
      <w:pPr>
        <w:pStyle w:val="BodyText"/>
        <w:spacing w:after="140" w:line="276" w:lineRule="auto"/>
      </w:pPr>
      <w:r>
        <w:t>The desktop website view demonstrates the complete workspace composition. The navigation rail exposes the Chat, Coding mode, and Math solver entries, while the central panel contains the assistant greeting, suggested actions, mode selector, and message composer. A status indicator confirms that the local API is operational. The consistent dark visual system, rounded panels, and restrained accent colors are intended to reduce distraction during technical work.</w:t>
      </w:r>
    </w:p>
    <w:p>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Pr>
                <w:sz w:val="17"/>
              </w:rPr>
              <w:t>Test Case</w:t>
            </w:r>
          </w:p>
        </w:tc>
        <w:tc>
          <w:tcPr>
            <w:tcW w:type="dxa" w:w="2430"/>
            <w:vAlign w:val="center"/>
            <w:shd w:fill="17365D"/>
          </w:tcPr>
          <w:p>
            <w:pPr>
              <w:spacing w:after="0"/>
            </w:pPr>
            <w:r>
              <w:rPr>
                <w:sz w:val="17"/>
              </w:rPr>
              <w:t>Input / Action</w:t>
            </w:r>
          </w:p>
        </w:tc>
        <w:tc>
          <w:tcPr>
            <w:tcW w:type="dxa" w:w="2430"/>
            <w:vAlign w:val="center"/>
            <w:shd w:fill="17365D"/>
          </w:tcPr>
          <w:p>
            <w:pPr>
              <w:spacing w:after="0"/>
            </w:pPr>
            <w:r>
              <w:rPr>
                <w:sz w:val="17"/>
              </w:rPr>
              <w:t>Expected Output</w:t>
            </w:r>
          </w:p>
        </w:tc>
        <w:tc>
          <w:tcPr>
            <w:tcW w:type="dxa" w:w="2430"/>
            <w:vAlign w:val="center"/>
            <w:shd w:fill="17365D"/>
          </w:tcPr>
          <w:p>
            <w:pPr>
              <w:spacing w:after="0"/>
            </w:pPr>
            <w:r>
              <w:rPr>
                <w:sz w:val="17"/>
              </w:rPr>
              <w:t>Result</w:t>
            </w:r>
          </w:p>
        </w:tc>
      </w:tr>
      <w:tr>
        <w:tc>
          <w:tcPr>
            <w:tcW w:type="dxa" w:w="2430"/>
          </w:tcPr>
          <w:p>
            <w:pPr>
              <w:spacing w:after="0"/>
            </w:pPr>
            <w:r>
              <w:rPr>
                <w:sz w:val="17"/>
              </w:rPr>
              <w:t>Health endpoint</w:t>
            </w:r>
          </w:p>
        </w:tc>
        <w:tc>
          <w:tcPr>
            <w:tcW w:type="dxa" w:w="2430"/>
          </w:tcPr>
          <w:p>
            <w:pPr>
              <w:spacing w:after="0"/>
            </w:pPr>
            <w:r>
              <w:rPr>
                <w:sz w:val="17"/>
              </w:rPr>
              <w:t>GET /api/health</w:t>
            </w:r>
          </w:p>
        </w:tc>
        <w:tc>
          <w:tcPr>
            <w:tcW w:type="dxa" w:w="2430"/>
          </w:tcPr>
          <w:p>
            <w:pPr>
              <w:spacing w:after="0"/>
            </w:pPr>
            <w:r>
              <w:rPr>
                <w:sz w:val="17"/>
              </w:rPr>
              <w:t>HTTP 200 and status = ok</w:t>
            </w:r>
          </w:p>
        </w:tc>
        <w:tc>
          <w:tcPr>
            <w:tcW w:type="dxa" w:w="2430"/>
          </w:tcPr>
          <w:p>
            <w:pPr>
              <w:spacing w:after="0"/>
            </w:pPr>
            <w:r>
              <w:rPr>
                <w:sz w:val="17"/>
              </w:rPr>
              <w:t>Pass</w:t>
            </w:r>
          </w:p>
        </w:tc>
      </w:tr>
      <w:tr>
        <w:tc>
          <w:tcPr>
            <w:tcW w:type="dxa" w:w="2430"/>
          </w:tcPr>
          <w:p>
            <w:pPr>
              <w:spacing w:after="0"/>
            </w:pPr>
            <w:r>
              <w:rPr>
                <w:sz w:val="17"/>
              </w:rPr>
              <w:t>Quadratic equation</w:t>
            </w:r>
          </w:p>
        </w:tc>
        <w:tc>
          <w:tcPr>
            <w:tcW w:type="dxa" w:w="2430"/>
          </w:tcPr>
          <w:p>
            <w:pPr>
              <w:spacing w:after="0"/>
            </w:pPr>
            <w:r>
              <w:rPr>
                <w:sz w:val="17"/>
              </w:rPr>
              <w:t>2*x^2 - 5*x + 3 = 0</w:t>
            </w:r>
          </w:p>
        </w:tc>
        <w:tc>
          <w:tcPr>
            <w:tcW w:type="dxa" w:w="2430"/>
          </w:tcPr>
          <w:p>
            <w:pPr>
              <w:spacing w:after="0"/>
            </w:pPr>
            <w:r>
              <w:rPr>
                <w:sz w:val="17"/>
              </w:rPr>
              <w:t>Roots include 1 and 3/2</w:t>
            </w:r>
          </w:p>
        </w:tc>
        <w:tc>
          <w:tcPr>
            <w:tcW w:type="dxa" w:w="2430"/>
          </w:tcPr>
          <w:p>
            <w:pPr>
              <w:spacing w:after="0"/>
            </w:pPr>
            <w:r>
              <w:rPr>
                <w:sz w:val="17"/>
              </w:rPr>
              <w:t>Pass</w:t>
            </w:r>
          </w:p>
        </w:tc>
      </w:tr>
      <w:tr>
        <w:tc>
          <w:tcPr>
            <w:tcW w:type="dxa" w:w="2430"/>
          </w:tcPr>
          <w:p>
            <w:pPr>
              <w:spacing w:after="0"/>
            </w:pPr>
            <w:r>
              <w:rPr>
                <w:sz w:val="17"/>
              </w:rPr>
              <w:t>Mathematical derivative</w:t>
            </w:r>
          </w:p>
        </w:tc>
        <w:tc>
          <w:tcPr>
            <w:tcW w:type="dxa" w:w="2430"/>
          </w:tcPr>
          <w:p>
            <w:pPr>
              <w:spacing w:after="0"/>
            </w:pPr>
            <w:r>
              <w:rPr>
                <w:sz w:val="17"/>
              </w:rPr>
              <w:t>operation = derivative, x^3</w:t>
            </w:r>
          </w:p>
        </w:tc>
        <w:tc>
          <w:tcPr>
            <w:tcW w:type="dxa" w:w="2430"/>
          </w:tcPr>
          <w:p>
            <w:pPr>
              <w:spacing w:after="0"/>
            </w:pPr>
            <w:r>
              <w:rPr>
                <w:sz w:val="17"/>
              </w:rPr>
              <w:t>Symbolic derivative 3*x**2</w:t>
            </w:r>
          </w:p>
        </w:tc>
        <w:tc>
          <w:tcPr>
            <w:tcW w:type="dxa" w:w="2430"/>
          </w:tcPr>
          <w:p>
            <w:pPr>
              <w:spacing w:after="0"/>
            </w:pPr>
            <w:r>
              <w:rPr>
                <w:sz w:val="17"/>
              </w:rPr>
              <w:t>Pass</w:t>
            </w:r>
          </w:p>
        </w:tc>
      </w:tr>
      <w:tr>
        <w:tc>
          <w:tcPr>
            <w:tcW w:type="dxa" w:w="2430"/>
          </w:tcPr>
          <w:p>
            <w:pPr>
              <w:spacing w:after="0"/>
            </w:pPr>
            <w:r>
              <w:rPr>
                <w:sz w:val="17"/>
              </w:rPr>
              <w:t>Coding intent route</w:t>
            </w:r>
          </w:p>
        </w:tc>
        <w:tc>
          <w:tcPr>
            <w:tcW w:type="dxa" w:w="2430"/>
          </w:tcPr>
          <w:p>
            <w:pPr>
              <w:spacing w:after="0"/>
            </w:pPr>
            <w:r>
              <w:rPr>
                <w:sz w:val="17"/>
              </w:rPr>
              <w:t>Debug this Python function in Auto mode</w:t>
            </w:r>
          </w:p>
        </w:tc>
        <w:tc>
          <w:tcPr>
            <w:tcW w:type="dxa" w:w="2430"/>
          </w:tcPr>
          <w:p>
            <w:pPr>
              <w:spacing w:after="0"/>
            </w:pPr>
            <w:r>
              <w:rPr>
                <w:sz w:val="17"/>
              </w:rPr>
              <w:t>Response mode = coding</w:t>
            </w:r>
          </w:p>
        </w:tc>
        <w:tc>
          <w:tcPr>
            <w:tcW w:type="dxa" w:w="2430"/>
          </w:tcPr>
          <w:p>
            <w:pPr>
              <w:spacing w:after="0"/>
            </w:pPr>
            <w:r>
              <w:rPr>
                <w:sz w:val="17"/>
              </w:rPr>
              <w:t>Pass</w:t>
            </w:r>
          </w:p>
        </w:tc>
      </w:tr>
      <w:tr>
        <w:tc>
          <w:tcPr>
            <w:tcW w:type="dxa" w:w="2430"/>
          </w:tcPr>
          <w:p>
            <w:pPr>
              <w:spacing w:after="0"/>
            </w:pPr>
            <w:r>
              <w:rPr>
                <w:sz w:val="17"/>
              </w:rPr>
              <w:t>Invalid math input</w:t>
            </w:r>
          </w:p>
        </w:tc>
        <w:tc>
          <w:tcPr>
            <w:tcW w:type="dxa" w:w="2430"/>
          </w:tcPr>
          <w:p>
            <w:pPr>
              <w:spacing w:after="0"/>
            </w:pPr>
            <w:r>
              <w:rPr>
                <w:sz w:val="17"/>
              </w:rPr>
              <w:t>Malformed symbolic expression</w:t>
            </w:r>
          </w:p>
        </w:tc>
        <w:tc>
          <w:tcPr>
            <w:tcW w:type="dxa" w:w="2430"/>
          </w:tcPr>
          <w:p>
            <w:pPr>
              <w:spacing w:after="0"/>
            </w:pPr>
            <w:r>
              <w:rPr>
                <w:sz w:val="17"/>
              </w:rPr>
              <w:t>Controlled HTTP 400 error</w:t>
            </w:r>
          </w:p>
        </w:tc>
        <w:tc>
          <w:tcPr>
            <w:tcW w:type="dxa" w:w="2430"/>
          </w:tcPr>
          <w:p>
            <w:pPr>
              <w:spacing w:after="0"/>
            </w:pPr>
            <w:r>
              <w:rPr>
                <w:sz w:val="17"/>
              </w:rPr>
              <w:t>Pass</w:t>
            </w:r>
          </w:p>
        </w:tc>
      </w:tr>
      <w:tr>
        <w:tc>
          <w:tcPr>
            <w:tcW w:type="dxa" w:w="2430"/>
          </w:tcPr>
          <w:p>
            <w:pPr>
              <w:spacing w:after="0"/>
            </w:pPr>
            <w:r>
              <w:rPr>
                <w:sz w:val="17"/>
              </w:rPr>
              <w:t>Dashboard build</w:t>
            </w:r>
          </w:p>
        </w:tc>
        <w:tc>
          <w:tcPr>
            <w:tcW w:type="dxa" w:w="2430"/>
          </w:tcPr>
          <w:p>
            <w:pPr>
              <w:spacing w:after="0"/>
            </w:pPr>
            <w:r>
              <w:rPr>
                <w:sz w:val="17"/>
              </w:rPr>
              <w:t>npm run build</w:t>
            </w:r>
          </w:p>
        </w:tc>
        <w:tc>
          <w:tcPr>
            <w:tcW w:type="dxa" w:w="2430"/>
          </w:tcPr>
          <w:p>
            <w:pPr>
              <w:spacing w:after="0"/>
            </w:pPr>
            <w:r>
              <w:rPr>
                <w:sz w:val="17"/>
              </w:rPr>
              <w:t>Production frontend assets generated</w:t>
            </w:r>
          </w:p>
        </w:tc>
        <w:tc>
          <w:tcPr>
            <w:tcW w:type="dxa" w:w="2430"/>
          </w:tcPr>
          <w:p>
            <w:pPr>
              <w:spacing w:after="0"/>
            </w:pPr>
            <w:r>
              <w:rPr>
                <w:sz w:val="17"/>
              </w:rPr>
              <w:t>Pass</w:t>
            </w:r>
          </w:p>
        </w:tc>
      </w:tr>
      <w:tr>
        <w:tc>
          <w:tcPr>
            <w:tcW w:type="dxa" w:w="2430"/>
          </w:tcPr>
          <w:p>
            <w:pPr>
              <w:spacing w:after="0"/>
            </w:pPr>
            <w:r>
              <w:rPr>
                <w:sz w:val="17"/>
              </w:rPr>
              <w:t>Responsive website</w:t>
            </w:r>
          </w:p>
        </w:tc>
        <w:tc>
          <w:tcPr>
            <w:tcW w:type="dxa" w:w="2430"/>
          </w:tcPr>
          <w:p>
            <w:pPr>
              <w:spacing w:after="0"/>
            </w:pPr>
            <w:r>
              <w:rPr>
                <w:sz w:val="17"/>
              </w:rPr>
              <w:t>Desktop and mobile browser views</w:t>
            </w:r>
          </w:p>
        </w:tc>
        <w:tc>
          <w:tcPr>
            <w:tcW w:type="dxa" w:w="2430"/>
          </w:tcPr>
          <w:p>
            <w:pPr>
              <w:spacing w:after="0"/>
            </w:pPr>
            <w:r>
              <w:rPr>
                <w:sz w:val="17"/>
              </w:rPr>
              <w:t>Navigation and composer remain visible</w:t>
            </w:r>
          </w:p>
        </w:tc>
        <w:tc>
          <w:tcPr>
            <w:tcW w:type="dxa" w:w="2430"/>
          </w:tcPr>
          <w:p>
            <w:pPr>
              <w:spacing w:after="0"/>
            </w:pPr>
            <w:r>
              <w:rPr>
                <w:sz w:val="17"/>
              </w:rPr>
              <w:t>Pass</w:t>
            </w:r>
          </w:p>
        </w:tc>
      </w:tr>
      <w:tr>
        <w:tc>
          <w:tcPr>
            <w:tcW w:type="dxa" w:w="2430"/>
          </w:tcPr>
          <w:p>
            <w:pPr>
              <w:spacing w:after="0"/>
            </w:pPr>
            <w:r>
              <w:rPr>
                <w:sz w:val="17"/>
              </w:rPr>
              <w:t>Continuous integration</w:t>
            </w:r>
          </w:p>
        </w:tc>
        <w:tc>
          <w:tcPr>
            <w:tcW w:type="dxa" w:w="2430"/>
          </w:tcPr>
          <w:p>
            <w:pPr>
              <w:spacing w:after="0"/>
            </w:pPr>
            <w:r>
              <w:rPr>
                <w:sz w:val="17"/>
              </w:rPr>
              <w:t>Push to main branch</w:t>
            </w:r>
          </w:p>
        </w:tc>
        <w:tc>
          <w:tcPr>
            <w:tcW w:type="dxa" w:w="2430"/>
          </w:tcPr>
          <w:p>
            <w:pPr>
              <w:spacing w:after="0"/>
            </w:pPr>
            <w:r>
              <w:rPr>
                <w:sz w:val="17"/>
              </w:rPr>
              <w:t>Automated tests and build complete</w:t>
            </w:r>
          </w:p>
        </w:tc>
        <w:tc>
          <w:tcPr>
            <w:tcW w:type="dxa" w:w="2430"/>
          </w:tcPr>
          <w:p>
            <w:pPr>
              <w:spacing w:after="0"/>
            </w:pPr>
            <w:r>
              <w:rPr>
                <w:sz w:val="17"/>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