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p>
      <w:pPr>
        <w:pStyle w:val="BodyText"/>
      </w:pPr>
      <w:r>
        <w:rPr>
          <w:b/>
          <w:bCs/>
        </w:rPr>
        <w:t xml:space="preserve">1 INTRODUÇÃO</w:t>
      </w:r>
    </w:p>
    <w:p>
      <w:pPr>
        <w:pStyle w:val="BodyText"/>
      </w:pPr>
      <w:r>
        <w:t xml:space="preserve">A evolução das interfaces de usuário tem gerado uma diversidade de padrões de design e</w:t>
      </w:r>
      <w:r>
        <w:t xml:space="preserve"> </w:t>
      </w:r>
      <w:r>
        <w:t xml:space="preserve">usabilidade, resultando frequentemente em barreiras para a plena acessibilidade e interação</w:t>
      </w:r>
      <w:r>
        <w:t xml:space="preserve"> </w:t>
      </w:r>
      <w:r>
        <w:t xml:space="preserve">dos usuários com os sistemas digitais. Com o aumento da complexidade do frontend e a</w:t>
      </w:r>
      <w:r>
        <w:t xml:space="preserve"> </w:t>
      </w:r>
      <w:r>
        <w:t xml:space="preserve">multiplicidade de paradigmas de interação, muitos usuários enfrentam dificuldades</w:t>
      </w:r>
      <w:r>
        <w:t xml:space="preserve"> </w:t>
      </w:r>
      <w:r>
        <w:t xml:space="preserve">significativas para utilizar efetivamente as funcionalidades oferecidas pelos sistemas</w:t>
      </w:r>
      <w:r>
        <w:t xml:space="preserve"> </w:t>
      </w:r>
      <w:r>
        <w:t xml:space="preserve">computacionais modernos.</w:t>
      </w:r>
    </w:p>
    <w:p>
      <w:pPr>
        <w:pStyle w:val="BodyText"/>
      </w:pPr>
      <w:r>
        <w:t xml:space="preserve">Nesse cenário, os agentes conversacionais baseados em inteligência artificial emergem</w:t>
      </w:r>
      <w:r>
        <w:t xml:space="preserve"> </w:t>
      </w:r>
      <w:r>
        <w:t xml:space="preserve">como uma alternativa promissora para simplificar a comunicação entre humanos e máquinas,</w:t>
      </w:r>
      <w:r>
        <w:t xml:space="preserve"> </w:t>
      </w:r>
      <w:r>
        <w:t xml:space="preserve">oferecendo uma camada intermediária de interação que pode traduzir comandos em linguagem</w:t>
      </w:r>
      <w:r>
        <w:t xml:space="preserve"> </w:t>
      </w:r>
      <w:r>
        <w:t xml:space="preserve">natural para ações específicas no sistema.</w:t>
      </w:r>
    </w:p>
    <w:p>
      <w:pPr>
        <w:pStyle w:val="BodyText"/>
      </w:pPr>
      <w:r>
        <w:t xml:space="preserve">A problemática central desta pesquisa reside na questão: de que forma um agente</w:t>
      </w:r>
      <w:r>
        <w:t xml:space="preserve"> </w:t>
      </w:r>
      <w:r>
        <w:t xml:space="preserve">conversacional baseado em IA pode potencializar a interação entre usuários e sistemas,</w:t>
      </w:r>
      <w:r>
        <w:t xml:space="preserve"> </w:t>
      </w:r>
      <w:r>
        <w:t xml:space="preserve">promovendo uma comunicação fluida mesmo em ambientes com interfaces complexas? Essa</w:t>
      </w:r>
      <w:r>
        <w:t xml:space="preserve"> </w:t>
      </w:r>
      <w:r>
        <w:t xml:space="preserve">pergunta reflete a necessidade crescente de soluções que democratizem o acesso à tecnologia,</w:t>
      </w:r>
      <w:r>
        <w:t xml:space="preserve"> </w:t>
      </w:r>
      <w:r>
        <w:t xml:space="preserve">reduzindo a curva de aprendizado necessária para a utilização de sistemas especializados e</w:t>
      </w:r>
      <w:r>
        <w:t xml:space="preserve"> </w:t>
      </w:r>
      <w:r>
        <w:t xml:space="preserve">tornando-os mais acessíveis para diferentes perfis de usuários.</w:t>
      </w:r>
    </w:p>
    <w:p>
      <w:pPr>
        <w:pStyle w:val="BodyText"/>
      </w:pPr>
      <w:r>
        <w:t xml:space="preserve">A relevância deste estudo se evidencia pelo potencial transformador que os agentes</w:t>
      </w:r>
      <w:r>
        <w:t xml:space="preserve"> </w:t>
      </w:r>
      <w:r>
        <w:t xml:space="preserve">conversacionais representam para a área de interação humano-computador. Ao implementar um</w:t>
      </w:r>
      <w:r>
        <w:t xml:space="preserve"> </w:t>
      </w:r>
      <w:r>
        <w:t xml:space="preserve">sistema intermediário capaz de interpretar linguagem natural e traduzi-la em ações específicas</w:t>
      </w:r>
      <w:r>
        <w:t xml:space="preserve"> </w:t>
      </w:r>
      <w:r>
        <w:t xml:space="preserve">dentro de um sistema, cria-se uma ponte que permite aos usuários interagirem de forma mais</w:t>
      </w:r>
      <w:r>
        <w:t xml:space="preserve"> </w:t>
      </w:r>
      <w:r>
        <w:t xml:space="preserve">intuitiva e natural com as tecnologias digitais.</w:t>
      </w:r>
      <w:r>
        <w:t xml:space="preserve"> </w:t>
      </w:r>
      <w:r>
        <w:t xml:space="preserve">Esta abordagem tem o potencial de mitigar as barreiras impostas por interfaces</w:t>
      </w:r>
      <w:r>
        <w:t xml:space="preserve"> </w:t>
      </w:r>
      <w:r>
        <w:t xml:space="preserve">complexas, contribuindo para uma maior inclusão digital e para a melhoria da experiência do</w:t>
      </w:r>
      <w:r>
        <w:t xml:space="preserve"> </w:t>
      </w:r>
      <w:r>
        <w:t xml:space="preserve">usuário em diversos contextos de aplicação.</w:t>
      </w:r>
    </w:p>
    <w:p>
      <w:pPr>
        <w:pStyle w:val="BodyText"/>
      </w:pPr>
      <w:r>
        <w:t xml:space="preserve">O objetivo geral deste trabalho é desenvolver, implementar e avaliar um agente</w:t>
      </w:r>
      <w:r>
        <w:t xml:space="preserve"> </w:t>
      </w:r>
      <w:r>
        <w:t xml:space="preserve">conversacional com IA que, por meio de técnicas avançadas de processamento de linguagem</w:t>
      </w:r>
      <w:r>
        <w:t xml:space="preserve"> </w:t>
      </w:r>
      <w:r>
        <w:t xml:space="preserve">natural, simplifique a comunicação entre usuários e sistemas, proporcionando uma experiência</w:t>
      </w:r>
      <w:r>
        <w:t xml:space="preserve"> </w:t>
      </w:r>
      <w:r>
        <w:t xml:space="preserve">digital unificada e adaptável às necessidades dos usuários.</w:t>
      </w:r>
    </w:p>
    <w:p>
      <w:pPr>
        <w:pStyle w:val="BodyText"/>
      </w:pPr>
      <w:r>
        <w:t xml:space="preserve">Para alcançar este objetivo, estabelecem-se os seguintes objetivos específicos: (1)</w:t>
      </w:r>
      <w:r>
        <w:t xml:space="preserve"> </w:t>
      </w:r>
      <w:r>
        <w:t xml:space="preserve">analisar as principais dificuldades enfrentadas pelos usuários na interação com interfaces</w:t>
      </w:r>
      <w:r>
        <w:t xml:space="preserve"> </w:t>
      </w:r>
      <w:r>
        <w:t xml:space="preserve">complexas; (2) implementar um agente conversacional utilizando técnicas de processamento de</w:t>
      </w:r>
      <w:r>
        <w:t xml:space="preserve"> </w:t>
      </w:r>
      <w:r>
        <w:t xml:space="preserve">linguagem natural; (3) integrar o agente a um sistema existente para demonstrar sua</w:t>
      </w:r>
      <w:r>
        <w:t xml:space="preserve"> </w:t>
      </w:r>
      <w:r>
        <w:t xml:space="preserve">aplicabilidade prática; e (4) avaliar a eficácia do agente na melhoria da experiência do usuário</w:t>
      </w:r>
      <w:r>
        <w:t xml:space="preserve"> </w:t>
      </w:r>
      <w:r>
        <w:t xml:space="preserve">e na redução das barreiras de interação.</w:t>
      </w:r>
    </w:p>
    <w:p>
      <w:pPr>
        <w:pStyle w:val="BodyText"/>
      </w:pPr>
      <w:r>
        <w:t xml:space="preserve">A justificativa para este estudo fundamenta-se na crescente necessidade de tornar as</w:t>
      </w:r>
      <w:r>
        <w:t xml:space="preserve"> </w:t>
      </w:r>
      <w:r>
        <w:t xml:space="preserve">tecnologias digitais mais acessíveis e intuitivas para um público diversificado. A</w:t>
      </w:r>
      <w:r>
        <w:t xml:space="preserve"> </w:t>
      </w:r>
      <w:r>
        <w:t xml:space="preserve">implementação de um agente conversacional inteligente propicia uma camada de interação que</w:t>
      </w:r>
      <w:r>
        <w:t xml:space="preserve"> </w:t>
      </w:r>
      <w:r>
        <w:t xml:space="preserve">pode mitigar as dificuldades impostas por interfaces complexas, oferecendo uma solução que</w:t>
      </w:r>
      <w:r>
        <w:t xml:space="preserve"> </w:t>
      </w:r>
      <w:r>
        <w:t xml:space="preserve">simplifica a comunicação e adapta-se às necessidades dos usuários.</w:t>
      </w:r>
    </w:p>
    <w:p>
      <w:pPr>
        <w:pStyle w:val="BodyText"/>
      </w:pPr>
      <w:r>
        <w:t xml:space="preserve">Do ponto de vista acadêmico, a pesquisa contribui para os campos de processamento de</w:t>
      </w:r>
      <w:r>
        <w:t xml:space="preserve"> </w:t>
      </w:r>
      <w:r>
        <w:t xml:space="preserve">linguagem natural e interação humano-computador, explorando novas abordagens para a</w:t>
      </w:r>
      <w:r>
        <w:t xml:space="preserve"> </w:t>
      </w:r>
      <w:r>
        <w:t xml:space="preserve">melhoria da usabilidade de sistemas digitais. Em termos práticos, os resultados obtidos podem</w:t>
      </w:r>
      <w:r>
        <w:t xml:space="preserve"> </w:t>
      </w:r>
      <w:r>
        <w:t xml:space="preserve">subsidiar o desenvolvimento de soluções mais inclusivas e centradas no usuário, potencializando</w:t>
      </w:r>
      <w:r>
        <w:t xml:space="preserve"> </w:t>
      </w:r>
      <w:r>
        <w:t xml:space="preserve">a adoção de tecnologias por diferentes segmentos da sociedade.</w:t>
      </w:r>
    </w:p>
    <w:bookmarkStart w:id="29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Nesta seção, deve-se descrever o procedimento experimental adotado. Seja</w:t>
      </w:r>
      <w:r>
        <w:t xml:space="preserve"> </w:t>
      </w:r>
      <w:r>
        <w:t xml:space="preserve">um procedimento experimental realizado em laboratório ou os critérios</w:t>
      </w:r>
      <w:r>
        <w:t xml:space="preserve"> </w:t>
      </w:r>
      <w:r>
        <w:t xml:space="preserve">analisados para o estudo do caso em questão, dentre outros. Lembrando</w:t>
      </w:r>
      <w:r>
        <w:t xml:space="preserve"> </w:t>
      </w:r>
      <w:r>
        <w:t xml:space="preserve">que este tópico será dividido em 2.1 MATERIAIS e 2.2 MÉTODOS, ou seja,</w:t>
      </w:r>
      <w:r>
        <w:t xml:space="preserve"> </w:t>
      </w:r>
      <w:r>
        <w:t xml:space="preserve">todos os recursos utilizados para a avaliação da pesquisa.</w:t>
      </w:r>
    </w:p>
    <w:p>
      <w:pPr>
        <w:pStyle w:val="BodyText"/>
      </w:pPr>
      <w:r>
        <w:t xml:space="preserve">2.1 MATERIAIS (SUBTÍTULO SEÇÃO SECUNDÁRIA)</w:t>
      </w:r>
    </w:p>
    <w:p>
      <w:pPr>
        <w:pStyle w:val="BodyText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p>
      <w:pPr>
        <w:pStyle w:val="BodyText"/>
      </w:pPr>
      <w:r>
        <w:t xml:space="preserve">2.2 MÉTODOS (SUBTÍTULO SEÇÃO SECUNDÁRIA)</w:t>
      </w:r>
    </w:p>
    <w:p>
      <w:pPr>
        <w:pStyle w:val="BodyText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Biblioteca virtual Pearson" title="" id="23" name="Picture"/>
            <a:graphic>
              <a:graphicData uri="http://schemas.openxmlformats.org/drawingml/2006/picture">
                <pic:pic>
                  <pic:nvPicPr>
                    <pic:cNvPr descr="./images/image-test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Biblioteca virtual Pearson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Nuvem de palavras" title="" id="25" name="Picture"/>
            <a:graphic>
              <a:graphicData uri="http://schemas.openxmlformats.org/drawingml/2006/picture">
                <pic:pic>
                  <pic:nvPicPr>
                    <pic:cNvPr descr="./images/image-te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Nuvem de palavras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Sistema de cascata" title="" id="27" name="Picture"/>
            <a:graphic>
              <a:graphicData uri="http://schemas.openxmlformats.org/drawingml/2006/picture">
                <pic:pic>
                  <pic:nvPicPr>
                    <pic:cNvPr descr="./images/image-tes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Sistema de cascata</w:t>
      </w:r>
    </w:p>
    <w:p>
      <w:pPr>
        <w:pStyle w:val="BodyText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“Magnetização”</w:t>
      </w:r>
      <w:r>
        <w:t xml:space="preserve"> </w:t>
      </w:r>
      <w:r>
        <w:t xml:space="preserve">ou</w:t>
      </w:r>
      <w:r>
        <w:t xml:space="preserve"> </w:t>
      </w:r>
      <w:r>
        <w:t xml:space="preserve">“Magnetização, M”</w:t>
      </w:r>
      <w:r>
        <w:t xml:space="preserve">, e não apenas</w:t>
      </w:r>
      <w:r>
        <w:t xml:space="preserve"> </w:t>
      </w:r>
      <w:r>
        <w:t xml:space="preserve">“M”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“Magnetização (A/m)”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“A/m”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Variáveis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Valores Otimizados</w:t>
            </w:r>
            <w: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(sem saturação)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  <w:r>
              <w:t xml:space="preserve">0,7000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Torque Médio (N.m)</w:t>
            </w:r>
          </w:p>
        </w:tc>
        <w:tc>
          <w:tcPr/>
          <w:p>
            <w:pPr>
              <w:pStyle w:val="Compact"/>
            </w:pPr>
            <w:r>
              <w:t xml:space="preserve">15,3934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Ângulo de Carga (graus)</w:t>
            </w:r>
          </w:p>
        </w:tc>
        <w:tc>
          <w:tcPr/>
          <w:p>
            <w:pPr>
              <w:pStyle w:val="Compact"/>
            </w:pPr>
            <w:r>
              <w:t xml:space="preserve">33,6239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Espessura da barreira (mm)</w:t>
            </w:r>
          </w:p>
        </w:tc>
        <w:tc>
          <w:tcPr/>
          <w:p>
            <w:pPr>
              <w:pStyle w:val="Compact"/>
            </w:pPr>
            <w:r>
              <w:t xml:space="preserve">1,9999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 (mH)</w:t>
            </w:r>
          </w:p>
        </w:tc>
        <w:tc>
          <w:tcPr/>
          <w:p>
            <w:pPr>
              <w:pStyle w:val="Compact"/>
            </w:pPr>
            <w:r>
              <w:t xml:space="preserve">289,8727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Lq(mH)</w:t>
            </w:r>
          </w:p>
        </w:tc>
        <w:tc>
          <w:tcPr/>
          <w:p>
            <w:pPr>
              <w:pStyle w:val="Compact"/>
            </w:pPr>
            <w:r>
              <w:t xml:space="preserve">56,3546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Ld/Lq</w:t>
            </w:r>
          </w:p>
        </w:tc>
        <w:tc>
          <w:tcPr/>
          <w:p>
            <w:pPr>
              <w:pStyle w:val="Compact"/>
            </w:pPr>
            <w:r>
              <w:t xml:space="preserve">5,1437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Ld-Lq (mH)</w:t>
            </w:r>
          </w:p>
        </w:tc>
        <w:tc>
          <w:tcPr/>
          <w:p>
            <w:pPr>
              <w:pStyle w:val="Compact"/>
            </w:pPr>
            <w:r>
              <w:t xml:space="preserve">233,5180</w:t>
            </w:r>
          </w:p>
        </w:tc>
      </w:tr>
    </w:tbl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Ceará</w:t>
            </w:r>
          </w:p>
        </w:tc>
        <w:tc>
          <w:tcPr/>
          <w:p>
            <w:pPr>
              <w:pStyle w:val="Compact"/>
            </w:pPr>
            <w:r>
              <w:t xml:space="preserve">664</w:t>
            </w:r>
          </w:p>
        </w:tc>
        <w:tc>
          <w:tcPr/>
          <w:p>
            <w:pPr>
              <w:pStyle w:val="Compact"/>
            </w:pPr>
            <w:r>
              <w:t xml:space="preserve">573</w:t>
            </w:r>
          </w:p>
        </w:tc>
        <w:tc>
          <w:tcPr/>
          <w:p>
            <w:pPr>
              <w:pStyle w:val="Compac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Pernambuco</w:t>
            </w:r>
          </w:p>
        </w:tc>
        <w:tc>
          <w:tcPr/>
          <w:p>
            <w:pPr>
              <w:pStyle w:val="Compact"/>
            </w:pPr>
            <w:r>
              <w:t xml:space="preserve">228.727</w:t>
            </w:r>
          </w:p>
        </w:tc>
        <w:tc>
          <w:tcPr/>
          <w:p>
            <w:pPr>
              <w:pStyle w:val="Compact"/>
            </w:pPr>
            <w:r>
              <w:t xml:space="preserve">236.767</w:t>
            </w:r>
          </w:p>
        </w:tc>
        <w:tc>
          <w:tcPr/>
          <w:p>
            <w:pPr>
              <w:pStyle w:val="Compac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Gêneros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Aparatos de Edição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Presos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Livres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Editorial</w:t>
            </w:r>
          </w:p>
        </w:tc>
        <w:tc>
          <w:tcPr/>
          <w:p>
            <w:pPr>
              <w:pStyle w:val="Compact"/>
            </w:pPr>
            <w:r>
              <w:t xml:space="preserve">Notícia</w:t>
            </w:r>
          </w:p>
        </w:tc>
        <w:tc>
          <w:tcPr/>
          <w:p>
            <w:pPr>
              <w:pStyle w:val="Compact"/>
            </w:pPr>
            <w:r>
              <w:t xml:space="preserve">Manchete</w:t>
            </w:r>
          </w:p>
        </w:tc>
        <w:tc>
          <w:tcPr/>
          <w:p>
            <w:pPr>
              <w:pStyle w:val="Compact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Carta do leitor</w:t>
            </w:r>
          </w:p>
        </w:tc>
        <w:tc>
          <w:tcPr/>
          <w:p>
            <w:pPr>
              <w:pStyle w:val="Compact"/>
            </w:pPr>
            <w:r>
              <w:t xml:space="preserve">Nota</w:t>
            </w:r>
          </w:p>
        </w:tc>
        <w:tc>
          <w:tcPr/>
          <w:p>
            <w:pPr>
              <w:pStyle w:val="Compact"/>
            </w:pPr>
            <w:r>
              <w:t xml:space="preserve">Lide</w:t>
            </w:r>
          </w:p>
        </w:tc>
        <w:tc>
          <w:tcPr/>
          <w:p>
            <w:pPr>
              <w:pStyle w:val="Compact"/>
            </w:pPr>
            <w:r>
              <w:t xml:space="preserve">Perfil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Expediente</w:t>
            </w:r>
          </w:p>
        </w:tc>
        <w:tc>
          <w:tcPr/>
          <w:p>
            <w:pPr>
              <w:pStyle w:val="Compact"/>
            </w:pPr>
            <w:r>
              <w:t xml:space="preserve">Crítica</w:t>
            </w:r>
          </w:p>
        </w:tc>
        <w:tc>
          <w:tcPr/>
          <w:p>
            <w:pPr>
              <w:pStyle w:val="Compact"/>
            </w:pPr>
            <w:r>
              <w:t xml:space="preserve">Lista</w:t>
            </w:r>
          </w:p>
        </w:tc>
        <w:tc>
          <w:tcPr/>
          <w:p>
            <w:pPr>
              <w:pStyle w:val="Compact"/>
            </w:pPr>
            <w:r>
              <w:t xml:space="preserve">Selo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Chamada</w:t>
            </w:r>
          </w:p>
        </w:tc>
        <w:tc>
          <w:tcPr/>
          <w:p>
            <w:pPr>
              <w:pStyle w:val="Compact"/>
            </w:pPr>
            <w:r>
              <w:t xml:space="preserve">Comentário</w:t>
            </w:r>
          </w:p>
        </w:tc>
        <w:tc>
          <w:tcPr/>
          <w:p>
            <w:pPr>
              <w:pStyle w:val="Compact"/>
            </w:pPr>
            <w:r>
              <w:t xml:space="preserve">Painel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Índice</w:t>
            </w:r>
          </w:p>
        </w:tc>
        <w:tc>
          <w:tcPr/>
          <w:p>
            <w:pPr>
              <w:pStyle w:val="Compact"/>
            </w:pPr>
            <w:r>
              <w:t xml:space="preserve">Opinião</w:t>
            </w:r>
          </w:p>
        </w:tc>
        <w:tc>
          <w:tcPr/>
          <w:p>
            <w:pPr>
              <w:pStyle w:val="Compact"/>
            </w:pPr>
            <w:r>
              <w:t xml:space="preserve">Chapéu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Cabeçalho</w:t>
            </w:r>
          </w:p>
        </w:tc>
        <w:tc>
          <w:tcPr/>
          <w:p>
            <w:pPr>
              <w:pStyle w:val="Compact"/>
            </w:pPr>
            <w:r>
              <w:t xml:space="preserve">Reportagem</w:t>
            </w:r>
          </w:p>
        </w:tc>
        <w:tc>
          <w:tcPr/>
          <w:p>
            <w:pPr>
              <w:pStyle w:val="Compact"/>
            </w:pPr>
            <w:r>
              <w:t xml:space="preserve">Olho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Entrevista</w:t>
            </w:r>
          </w:p>
        </w:tc>
        <w:tc>
          <w:tcPr/>
          <w:p>
            <w:pPr>
              <w:pStyle w:val="Compact"/>
            </w:pPr>
            <w:r>
              <w:t xml:space="preserve">Tabela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Claquete</w:t>
            </w:r>
          </w:p>
        </w:tc>
        <w:tc>
          <w:tcPr/>
          <w:p>
            <w:pPr>
              <w:pStyle w:val="Compact"/>
            </w:pPr>
            <w:r>
              <w:t xml:space="preserve">Gráfico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Citação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01"/>
        </w:numPr>
      </w:pPr>
      <w:r>
        <w:t xml:space="preserve">idade:</w:t>
      </w:r>
    </w:p>
    <w:p>
      <w:pPr>
        <w:numPr>
          <w:ilvl w:val="1"/>
          <w:numId w:val="1002"/>
        </w:numPr>
      </w:pPr>
      <w:r>
        <w:t xml:space="preserve">de 30 a 40 anos;</w:t>
      </w:r>
    </w:p>
    <w:p>
      <w:pPr>
        <w:numPr>
          <w:ilvl w:val="1"/>
          <w:numId w:val="1002"/>
        </w:numPr>
      </w:pPr>
      <w:r>
        <w:t xml:space="preserve">mais de 40 anos.</w:t>
      </w:r>
    </w:p>
    <w:p>
      <w:pPr>
        <w:numPr>
          <w:ilvl w:val="0"/>
          <w:numId w:val="1001"/>
        </w:numPr>
      </w:pPr>
      <w:r>
        <w:t xml:space="preserve">sexo;</w:t>
      </w:r>
    </w:p>
    <w:p>
      <w:pPr>
        <w:numPr>
          <w:ilvl w:val="0"/>
          <w:numId w:val="1001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03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04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“visa contribuir para o processo do que deve se</w:t>
      </w:r>
      <w:r>
        <w:t xml:space="preserve"> </w:t>
      </w:r>
      <w:r>
        <w:t xml:space="preserve">tornar memorável em âmbito institucional”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“Informações e documentação – citações em documentos”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06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06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06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06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06"/>
        </w:numPr>
      </w:pPr>
      <w:r>
        <w:t xml:space="preserve">Para referência de documentos consultar a ABNT 6023;</w:t>
      </w:r>
    </w:p>
    <w:p>
      <w:pPr>
        <w:numPr>
          <w:ilvl w:val="0"/>
          <w:numId w:val="1006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p>
      <w:pPr>
        <w:pStyle w:val="FirstParagraph"/>
      </w:pPr>
      <w:r>
        <w:rPr>
          <w:b/>
          <w:bCs/>
        </w:rPr>
        <w:t xml:space="preserve">3 RESULTADOS E DISCUSSÕES</w:t>
      </w:r>
    </w:p>
    <w:p>
      <w:pPr>
        <w:pStyle w:val="BodyText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p>
      <w:pPr>
        <w:pStyle w:val="BodyText"/>
      </w:pPr>
      <w:r>
        <w:rPr>
          <w:b/>
          <w:bCs/>
        </w:rPr>
        <w:t xml:space="preserve">4 CONSIDERAÇÕES FINAIS</w:t>
      </w:r>
    </w:p>
    <w:p>
      <w:pPr>
        <w:pStyle w:val="BodyText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29"/>
    <w:bookmarkStart w:id="30" w:name="referências"/>
    <w:p>
      <w:pPr>
        <w:pStyle w:val="Heading1"/>
      </w:pPr>
      <w:r>
        <w:t xml:space="preserve">REFERÊNCIAS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rPr>
                    <m:sty m:val="p"/>
                  </m:rPr>
                  <m:t>T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[K]</w:t>
            </w:r>
          </w:p>
        </w:tc>
        <w:tc>
          <w:tcPr/>
          <w:p>
            <w:pPr>
              <w:pStyle w:val="Compac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[m]</w:t>
            </w:r>
          </w:p>
        </w:tc>
        <w:tc>
          <w:tcPr/>
          <w:p>
            <w:pPr>
              <w:pStyle w:val="Compac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[N]</w:t>
            </w:r>
          </w:p>
        </w:tc>
        <w:tc>
          <w:tcPr/>
          <w:p>
            <w:pPr>
              <w:pStyle w:val="Compac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2025-04-08T01:01:07Z</dcterms:created>
  <dcterms:modified xsi:type="dcterms:W3CDTF">2025-04-08T01:01:07Z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