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AGENTE CONVERSACIONAL PARA INTERAÇÃO APRIMORADA EM SISTEMAS</w:t>
      </w:r>
    </w:p>
    <w:bookmarkStart w:id="22" w:name="X8e8220cab18ad8eb4e0e76b842421531bf7e362"/>
    <w:p>
      <w:pPr>
        <w:pStyle w:val="Heading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ABNT</w:t>
      </w:r>
    </w:p>
    <w:p>
      <w:pPr>
        <w:pStyle w:val="Compact"/>
        <w:numPr>
          <w:ilvl w:val="1"/>
          <w:numId w:val="1003"/>
        </w:numPr>
      </w:pPr>
      <w:r>
        <w:t xml:space="preserve">Aplicar formatação da SATC</w:t>
      </w:r>
    </w:p>
    <w:p>
      <w:pPr>
        <w:pStyle w:val="Compact"/>
        <w:numPr>
          <w:ilvl w:val="0"/>
          <w:numId w:val="1004"/>
        </w:numPr>
      </w:pPr>
      <w:r>
        <w:t xml:space="preserve">Escrita</w:t>
      </w:r>
    </w:p>
    <w:p>
      <w:pPr>
        <w:pStyle w:val="Compact"/>
        <w:numPr>
          <w:ilvl w:val="1"/>
          <w:numId w:val="1005"/>
        </w:numPr>
      </w:pPr>
      <w:r>
        <w:t xml:space="preserve">Resumo</w:t>
      </w:r>
    </w:p>
    <w:p>
      <w:pPr>
        <w:pStyle w:val="Compact"/>
        <w:numPr>
          <w:ilvl w:val="2"/>
          <w:numId w:val="1006"/>
        </w:numPr>
      </w:pPr>
      <w:r>
        <w:t xml:space="preserve">Esqueleto</w:t>
      </w:r>
    </w:p>
    <w:p>
      <w:pPr>
        <w:pStyle w:val="Compact"/>
        <w:numPr>
          <w:ilvl w:val="2"/>
          <w:numId w:val="1007"/>
        </w:numPr>
      </w:pPr>
      <w:r>
        <w:t xml:space="preserve">Revisão após finalizar o artigo</w:t>
      </w:r>
    </w:p>
    <w:p>
      <w:pPr>
        <w:pStyle w:val="Compact"/>
        <w:numPr>
          <w:ilvl w:val="1"/>
          <w:numId w:val="1008"/>
        </w:numPr>
      </w:pPr>
      <w:r>
        <w:t xml:space="preserve">Introdução (preciso de umas referências)</w:t>
      </w:r>
    </w:p>
    <w:p>
      <w:pPr>
        <w:pStyle w:val="Compact"/>
        <w:numPr>
          <w:ilvl w:val="1"/>
          <w:numId w:val="1009"/>
        </w:numPr>
      </w:pPr>
      <w:r>
        <w:t xml:space="preserve">Material e métodos</w:t>
      </w:r>
    </w:p>
    <w:p>
      <w:pPr>
        <w:pStyle w:val="Compact"/>
        <w:numPr>
          <w:ilvl w:val="2"/>
          <w:numId w:val="1010"/>
        </w:numPr>
      </w:pPr>
      <w:r>
        <w:t xml:space="preserve">Abordagem geral</w:t>
      </w:r>
    </w:p>
    <w:p>
      <w:pPr>
        <w:pStyle w:val="Compact"/>
        <w:numPr>
          <w:ilvl w:val="2"/>
          <w:numId w:val="1011"/>
        </w:numPr>
      </w:pPr>
      <w:r>
        <w:t xml:space="preserve">Procedimento experimental de cada alternativa</w:t>
      </w:r>
    </w:p>
    <w:p>
      <w:pPr>
        <w:pStyle w:val="Compact"/>
        <w:numPr>
          <w:ilvl w:val="1"/>
          <w:numId w:val="1012"/>
        </w:numPr>
      </w:pPr>
      <w:r>
        <w:t xml:space="preserve">Resultados e discussão</w:t>
      </w:r>
    </w:p>
    <w:p>
      <w:pPr>
        <w:pStyle w:val="Compact"/>
        <w:numPr>
          <w:ilvl w:val="1"/>
          <w:numId w:val="1013"/>
        </w:numPr>
      </w:pPr>
      <w:r>
        <w:t xml:space="preserve">Considerações finais</w:t>
      </w:r>
    </w:p>
    <w:p>
      <w:pPr>
        <w:pStyle w:val="Compact"/>
        <w:numPr>
          <w:ilvl w:val="1"/>
          <w:numId w:val="1014"/>
        </w:numPr>
      </w:pPr>
      <w:r>
        <w:t xml:space="preserve">Referências</w:t>
      </w:r>
    </w:p>
    <w:p>
      <w:pPr>
        <w:pStyle w:val="Compact"/>
        <w:numPr>
          <w:ilvl w:val="2"/>
          <w:numId w:val="1015"/>
        </w:numPr>
      </w:pPr>
      <w:r>
        <w:t xml:space="preserve">Formatar ABNT</w:t>
      </w:r>
    </w:p>
    <w:p>
      <w:pPr>
        <w:pStyle w:val="FirstParagraph"/>
      </w:pPr>
      <w:r>
        <w:rPr>
          <w:b/>
          <w:bCs/>
        </w:rPr>
        <w:t xml:space="preserve">Lucas de Castro Zanoni</w:t>
      </w:r>
      <w:r>
        <w:rPr>
          <w:rStyle w:val="FootnoteReference"/>
        </w:rPr>
        <w:footnoteReference w:id="20"/>
      </w:r>
    </w:p>
    <w:p>
      <w:pPr>
        <w:pStyle w:val="BodyText"/>
      </w:pPr>
      <w:r>
        <w:rPr>
          <w:b/>
          <w:bCs/>
        </w:rPr>
        <w:t xml:space="preserve">Thyerri Fernandes Mezzari</w:t>
      </w:r>
      <w:r>
        <w:rPr>
          <w:rStyle w:val="FootnoteReference"/>
        </w:rPr>
        <w:footnoteReference w:id="21"/>
      </w:r>
    </w:p>
    <w:p>
      <w:pPr>
        <w:pStyle w:val="BodyText"/>
      </w:pPr>
      <w:r>
        <w:t xml:space="preserve">Resumo: Este trabalho apresenta o desenvolvimento de um agente conversacional baseado em inteligência artificial para aprimorar a interação entre usuários e sistemas. Utilizando técnicas avançadas de processamento de linguagem natural, o agente proposto visa simplificar a comunicação em interfaces complexas, proporcionando uma experiência digital unificada e adaptável às necessidades dos usuários. A metodologia inclui o desenvolvimento, implementação e avaliação do agente em ambientes reais de uso. Os resultados demonstram que a solução proposta contribui significativamente para a melhoria da acessibilidade e usabilidade dos sistemas, reduzindo barreiras de interação e promovendo uma comunicação mais fluida e intuitiva.</w:t>
      </w:r>
    </w:p>
    <w:p>
      <w:pPr>
        <w:pStyle w:val="BodyText"/>
      </w:pPr>
      <w:r>
        <w:rPr>
          <w:b/>
          <w:bCs/>
        </w:rPr>
        <w:t xml:space="preserve">Palavras-chaves:</w:t>
      </w:r>
      <w:r>
        <w:t xml:space="preserve"> </w:t>
      </w:r>
      <w:r>
        <w:t xml:space="preserve">agente conversacional, interação, sistema, inteligência artificial.</w:t>
      </w:r>
    </w:p>
    <w:bookmarkEnd w:id="22"/>
    <w:bookmarkStart w:id="23" w:name="introdução"/>
    <w:p>
      <w:pPr>
        <w:pStyle w:val="Heading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pelos sistemas computacionais modernos</w:t>
      </w:r>
      <w:r>
        <w:t xml:space="preserve"> </w:t>
      </w:r>
      <w:r>
        <w:t xml:space="preserve">[@RAPP201849]</w:t>
      </w:r>
      <w:r>
        <w:t xml:space="preserve"> </w:t>
      </w:r>
      <w:r>
        <w:t xml:space="preserve">[@Kocaballi2019]</w:t>
      </w:r>
      <w:r>
        <w:t xml:space="preserve">.</w:t>
      </w:r>
    </w:p>
    <w:p>
      <w:pPr>
        <w:pStyle w:val="BodyText"/>
      </w:pPr>
      <w:r>
        <w:t xml:space="preserve">Nesse cenário, os agentes conversacionais baseados em inteligência artificial emergem como uma alternativa promissora para simplificar a comunicação entre humanos e máquinas, oferecendo uma camada intermediária de interação que pode traduzir comandos em linguagem natural para ações específicas no sistema.</w:t>
      </w:r>
    </w:p>
    <w:p>
      <w:pPr>
        <w:pStyle w:val="BodyText"/>
      </w:pPr>
      <w:r>
        <w:t xml:space="preserve">Estudos recentes têm demonstrado que agentes conversacionais podem aprimorar significativamente a experiência do usuário ao simplificar interações com sistemas complexos</w:t>
      </w:r>
      <w:r>
        <w:t xml:space="preserve"> </w:t>
      </w:r>
      <w:r>
        <w:t xml:space="preserve">[@fast2017irisconversationalagentcomplex]</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[@Guo2024Doppelganger]</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[@Lister2020AccessibleCU]</w:t>
      </w:r>
      <w:r>
        <w:t xml:space="preserve"> </w:t>
      </w:r>
      <w:r>
        <w:t xml:space="preserve">[@Deng2023AMA]</w:t>
      </w:r>
      <w:r>
        <w:t xml:space="preserve">.</w:t>
      </w:r>
    </w:p>
    <w:p>
      <w:pPr>
        <w:pStyle w:val="BodyText"/>
      </w:pPr>
      <w:r>
        <w:t xml:space="preserve">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Adicionalmente, trabalhos recentes indicam que avanços na arquitetura de modelos de IA, como o uso de transformers sem camadas de normalização, podem influenciar positivamente o desempenho e a eficiência desses agentes</w:t>
      </w:r>
      <w:r>
        <w:t xml:space="preserve"> </w:t>
      </w:r>
      <w:r>
        <w:t xml:space="preserve">[@Zhu2025DyT]</w:t>
      </w:r>
      <w:r>
        <w:t xml:space="preserve">.</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34" w:name="procedimento-experimental"/>
    <w:p>
      <w:pPr>
        <w:pStyle w:val="Heading1"/>
      </w:pPr>
      <w:r>
        <w:t xml:space="preserve">2 PROCEDIMENTO EXPERIMENTAL</w:t>
      </w:r>
    </w:p>
    <w:p>
      <w:pPr>
        <w:pStyle w:val="FirstParagraph"/>
      </w:pPr>
      <w:r>
        <w:t xml:space="preserve">Este trabalho adota uma abordagem metodológica estruturada em múltiplas etapas para investigar e avaliar diferentes métodos de integração entre agentes conversacionais baseados em LLMs (Large Language Models) e sistemas computacionais. A pesquisa se desenvolve através de uma análise comparativa de quatro abordagens distintas de integração, cada uma com suas características, vantagens e limitações específicas.</w:t>
      </w:r>
    </w:p>
    <w:p>
      <w:pPr>
        <w:pStyle w:val="BodyText"/>
      </w:pPr>
      <w:r>
        <w:t xml:space="preserve">O processo investigativo inicia-se com uma revisão sistemática da literatura sobre integrações entre LLMs e sistemas, estabelecendo uma base teórica sólida para a análise subsequente. Em seguida, são exploradas quatro abordagens principais de integração: (1) conexão direta com banco de dados, permitindo consultas e manipulações diretas; (2) integração via plugins ORM, facilitando o acesso através de camadas de abstração existentes; (3) integração via API/Swagger, utilizando interfaces padronizadas de comunicação; e (4) integração via Model Context Protocol (MCP), explorando um paradigma emergente de comunicação entre LLMs e sistemas.</w:t>
      </w:r>
    </w:p>
    <w:p>
      <w:pPr>
        <w:pStyle w:val="BodyText"/>
      </w:pPr>
      <w:r>
        <w:t xml:space="preserve">Para cada abordagem, será desenvolvida uma prova de conceito que demonstre sua viabilidade técnica e permita uma avaliação objetiva de seus aspectos funcionais e não-funcionais. A avaliação seguirá critérios predefinidos, incluindo desempenho, segurança, facilidade de implementação, manutenibilidade e experiência do usuário. Os resultados serão documentados e analisados de forma sistemática, permitindo uma comparação objetiva entre as diferentes abordagens.</w:t>
      </w:r>
    </w:p>
    <w:bookmarkStart w:id="32" w:name="materiais"/>
    <w:p>
      <w:pPr>
        <w:pStyle w:val="Heading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Heading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Large Language Models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[@cherednichenko:hal-04545073]</w:t>
      </w:r>
      <w:r>
        <w:t xml:space="preserve">.</w:t>
      </w:r>
    </w:p>
    <w:p>
      <w:pPr>
        <w:pStyle w:val="BodyText"/>
      </w:pPr>
      <w:r>
        <w:t xml:space="preserve">O Hugging Face fornece bibliotecas JavaScript específicas compatíveis com Node.js, como o</w:t>
      </w:r>
      <w:r>
        <w:t xml:space="preserve"> </w:t>
      </w:r>
      <w:r>
        <w:rPr>
          <w:rStyle w:val="VerbatimChar"/>
        </w:rPr>
        <w:t xml:space="preserve">@huggingface/inference</w:t>
      </w:r>
      <w:r>
        <w:t xml:space="preserve">, permitindo acesso direto a mais de 100 mil modelos pré-treinados com suporte a TypeScript. Isso simplifica significativamente a integração com IA, destacando a robustez técnica e facilidade de adoção do Node.js em aplicações modernas</w:t>
      </w:r>
      <w:r>
        <w:t xml:space="preserve"> </w:t>
      </w:r>
      <w:r>
        <w:t xml:space="preserve">[@HuggingFace2024]</w:t>
      </w:r>
      <w:r>
        <w:t xml:space="preserve">.</w:t>
      </w:r>
    </w:p>
    <w:p>
      <w:pPr>
        <w:pStyle w:val="BodyText"/>
      </w:pPr>
      <w:r>
        <w:t xml:space="preserve">Grandes empresas também reforçam a relevância de Node.js ao disponibilizarem SDKs específicos, como o da IBM para o Watsonx, lançado em 2023. Este SDK facilita o uso direto de modelos generativos robustos da IBM em aplicações Node.js, destacando sua relevância estratégica no ambiente empresarial</w:t>
      </w:r>
      <w:r>
        <w:t xml:space="preserve"> </w:t>
      </w:r>
      <w:r>
        <w:t xml:space="preserve">[@IBM2023WatsonxSDK]</w:t>
      </w:r>
      <w:r>
        <w:t xml:space="preserve">.</w:t>
      </w:r>
    </w:p>
    <w:p>
      <w:pPr>
        <w:pStyle w:val="BodyText"/>
      </w:pPr>
      <w:r>
        <w:t xml:space="preserve">Adicionalmente, a documentação oficial do Node.js ressalta sua capacidade superior de lidar com streaming de dados através de streams e pipelines. Essa funcionalidade permite transmitir resultados incrementais de IA aos clientes com baixa latência, tornando-o ideal para chatbots e serviços em tempo real que dependem de respostas imediatas</w:t>
      </w:r>
      <w:r>
        <w:t xml:space="preserve"> </w:t>
      </w:r>
      <w:r>
        <w:t xml:space="preserve">[@Nodejs2024Docs]</w:t>
      </w:r>
      <w:r>
        <w:t xml:space="preserve">.</w:t>
      </w:r>
    </w:p>
    <w:p>
      <w:pPr>
        <w:pStyle w:val="BodyText"/>
      </w:pPr>
      <w:r>
        <w:t xml:space="preserve">Por fim, relatórios da Red Hat 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[@RedHat2024LLMNode]</w:t>
      </w:r>
      <w:r>
        <w:t xml:space="preserve">.</w:t>
      </w:r>
    </w:p>
    <w:bookmarkEnd w:id="24"/>
    <w:bookmarkStart w:id="25" w:name="testes-end-to-end-e2e"/>
    <w:p>
      <w:pPr>
        <w:pStyle w:val="Heading3"/>
      </w:pPr>
      <w:r>
        <w:t xml:space="preserve">2.1.2 TESTES END-TO-END (E2E)</w:t>
      </w:r>
    </w:p>
    <w:p>
      <w:pPr>
        <w:pStyle w:val="FirstParagraph"/>
      </w:pPr>
      <w:r>
        <w:t xml:space="preserve">O Framework de Gerenciamento de Riscos de IA do NIST</w:t>
      </w:r>
      <w:r>
        <w:t xml:space="preserve"> </w:t>
      </w:r>
      <w:r>
        <w:t xml:space="preserve">[@oprea2023adversarial]</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 prompt 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[@john2025owasp]</w:t>
      </w:r>
      <w:r>
        <w:t xml:space="preserve"> </w:t>
      </w:r>
      <w:r>
        <w:t xml:space="preserve">classifica a injeção de prompt 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[@wu2023defending]</w:t>
      </w:r>
      <w:r>
        <w:t xml:space="preserve"> </w:t>
      </w:r>
      <w:r>
        <w:t xml:space="preserve">demonstraram que ataques de jailbreak — um tipo avançado de injeção de prompt —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 red teaming. Segundo Inie et al. (2025)</w:t>
      </w:r>
      <w:r>
        <w:t xml:space="preserve"> </w:t>
      </w:r>
      <w:r>
        <w:t xml:space="preserve">[@inie2025summon]</w:t>
      </w:r>
      <w:r>
        <w:t xml:space="preserve">, o red teaming desafia sistematicamente sistemas de IA com prompts 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 jailbreaks para 19%, mantendo a funcionalidade padrão do modelo — um resultado validado através de testes E2E em 540 cenários adversarialmente projetados</w:t>
      </w:r>
      <w:r>
        <w:t xml:space="preserve"> </w:t>
      </w:r>
      <w:r>
        <w:t xml:space="preserve">[@wu2023defending]</w:t>
      </w:r>
      <w:r>
        <w:t xml:space="preserve">.</w:t>
      </w:r>
    </w:p>
    <w:p>
      <w:pPr>
        <w:pStyle w:val="BodyText"/>
      </w:pPr>
      <w:r>
        <w:t xml:space="preserve">Testes de robustez, como os propostos pelo framework CheckList</w:t>
      </w:r>
      <w:r>
        <w:t xml:space="preserve"> </w:t>
      </w:r>
      <w:r>
        <w:t xml:space="preserve">[@ribeiro2020beyond]</w:t>
      </w:r>
      <w:r>
        <w:t xml:space="preserve">, complementam ainda mais os testes E2E ao variar sistematicamente as entradas — como paráfrases, negações ou ruído — para avaliar a consistência e a precisão do modelo em diferentes cenários. Esse método garante que sistemas baseados em LLM lidem de forma confiável com interações diversas dos usuários, atributo essencial para manter a confiança dos usuários e a estabilidade operacional, especialmente em aplicações críticas de negócios ou voltadas à segurança.</w:t>
      </w:r>
    </w:p>
    <w:bookmarkEnd w:id="25"/>
    <w:bookmarkStart w:id="30" w:name="X5894334ccf94b43724f17f3e7e1f3353611dc5c"/>
    <w:p>
      <w:pPr>
        <w:pStyle w:val="Heading3"/>
      </w:pPr>
      <w:r>
        <w:t xml:space="preserve">2.1.3 MODELOS DE LINGUAGEM DE GRANDE ESCALA (LLMs)</w:t>
      </w:r>
    </w:p>
    <w:p>
      <w:pPr>
        <w:pStyle w:val="FirstParagraph"/>
      </w:pPr>
      <w:r>
        <w:t xml:space="preserve">Os modelos de linguagem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Heading4"/>
      </w:pPr>
      <w:r>
        <w:t xml:space="preserve">2.1.3.1 HISTÓRICO DO DESENVOLVIMENTO DE LLMS (2018–2023)</w:t>
      </w:r>
    </w:p>
    <w:p>
      <w:pPr>
        <w:pStyle w:val="FirstParagraph"/>
      </w:pPr>
      <w:r>
        <w:t xml:space="preserve">Nos últimos cinco anos, os Modelos de Linguagem de Grande Escala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(few-shot), ampliando o escopo de tarefas possíveis por meio de simples instruções em linguagem natural</w:t>
      </w:r>
      <w:r>
        <w:t xml:space="preserve"> </w:t>
      </w:r>
      <w:r>
        <w:t xml:space="preserve">[@brown2020languagemodelsfewshotlearners]</w:t>
      </w:r>
      <w:r>
        <w:t xml:space="preserve">.</w:t>
      </w:r>
    </w:p>
    <w:p>
      <w:pPr>
        <w:pStyle w:val="BodyText"/>
      </w:pPr>
      <w:r>
        <w:t xml:space="preserve">A partir de 2022, o foco da pesquisa passou a ser o aprimoramento do raciocínio e alinhamento dos LLMs. Técnicas como Chain-of-Thought prompting permitiram que os modelos resolvessem problemas complexos de forma mais eficaz</w:t>
      </w:r>
      <w:r>
        <w:t xml:space="preserve"> </w:t>
      </w:r>
      <w:r>
        <w:t xml:space="preserve">[@wei2023chainofthoughtpromptingelicitsreasoning]</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[@openai2022instructgpt]</w:t>
      </w:r>
      <w:r>
        <w:t xml:space="preserve">.</w:t>
      </w:r>
    </w:p>
    <w:bookmarkEnd w:id="26"/>
    <w:bookmarkStart w:id="27" w:name="extensão-de-janela-de-contexto"/>
    <w:p>
      <w:pPr>
        <w:pStyle w:val="Heading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[@anthropic2024context]</w:t>
      </w:r>
      <w:r>
        <w:t xml:space="preserve">, enquanto versões estendidas do GPT-4 suportam até 32.000 tokens</w:t>
      </w:r>
      <w:r>
        <w:t xml:space="preserve"> </w:t>
      </w:r>
      <w:r>
        <w:t xml:space="preserve">[@openai2023gpt4]</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[@anthropic2024context; @openai2023gpt4]</w:t>
      </w:r>
      <w:r>
        <w:t xml:space="preserve">.</w:t>
      </w:r>
    </w:p>
    <w:bookmarkEnd w:id="27"/>
    <w:bookmarkStart w:id="28" w:name="X4b8ba6b8c7c7c760c7145affc949360e91a6b71"/>
    <w:p>
      <w:pPr>
        <w:pStyle w:val="Heading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 Chain-of-Thought prompting, que induz os modelos a pensar em etapas intermediárias, mostraram ganhos substanciais em tarefas que exigem múltiplos passos lógicos</w:t>
      </w:r>
      <w:r>
        <w:t xml:space="preserve"> </w:t>
      </w:r>
      <w:r>
        <w:t xml:space="preserve">[@wei2023chainofthoughtpromptingelicitsreasoning]</w:t>
      </w:r>
      <w:r>
        <w:t xml:space="preserve">. Além disso, abordagens como tree-of-thought e self-reflection 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[@yao2023treethoughtsdeliberateproblem]</w:t>
      </w:r>
      <w:r>
        <w:t xml:space="preserve">.</w:t>
      </w:r>
    </w:p>
    <w:bookmarkEnd w:id="28"/>
    <w:bookmarkStart w:id="29" w:name="Xf917097deed24cf0ab45199cb93af37875566f7"/>
    <w:p>
      <w:pPr>
        <w:pStyle w:val="Heading4"/>
      </w:pPr>
      <w:r>
        <w:t xml:space="preserve">2.1.3.4 USO DE FERRAMENTAS EM TEMPO REAL E INTERAÇÃO COM SISTEMAS</w:t>
      </w:r>
    </w:p>
    <w:p>
      <w:pPr>
        <w:pStyle w:val="FirstParagraph"/>
      </w:pPr>
      <w:r>
        <w:t xml:space="preserve">O avanço dos LLMs em ambientes de produção foi impulsionado por recursos como o function calling da OpenAI</w:t>
      </w:r>
      <w:r>
        <w:t xml:space="preserve"> </w:t>
      </w:r>
      <w:r>
        <w:t xml:space="preserve">[@openai2023functioncalling]</w:t>
      </w:r>
      <w:r>
        <w:t xml:space="preserve">. Essa funcionalidade permite que os modelos interpretem solicitações em linguagem natural e as convertam em chamadas de funções estruturadas, conforme definido por esquemas JSON fornecidos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 prompt ou extração de texto.</w:t>
      </w:r>
    </w:p>
    <w:p>
      <w:pPr>
        <w:pStyle w:val="BodyText"/>
      </w:pPr>
      <w:r>
        <w:t xml:space="preserve">Essa abordagem, semelhante ao modelo escrever código para utilizar ferramentas,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[@openai2023functioncalling]</w:t>
      </w:r>
      <w:r>
        <w:t xml:space="preserve">.</w:t>
      </w:r>
    </w:p>
    <w:p>
      <w:pPr>
        <w:pStyle w:val="BodyText"/>
      </w:pPr>
      <w:r>
        <w:t xml:space="preserve">Complementando essa capacidade, o Model Context Protocol (MCP), desenvolvido pela Anthropic</w:t>
      </w:r>
      <w:r>
        <w:t xml:space="preserve"> </w:t>
      </w:r>
      <w:r>
        <w:t xml:space="preserve">[@mcp2025spec; @anthropic2024mcp]</w:t>
      </w:r>
      <w:r>
        <w:t xml:space="preserve">, oferece um padrão aberto para conectar LLMs a diversas fontes de dados e ferramentas. O MCP estabelece uma arquitetura cliente-servidor onde os modelos (clientes) podem acessar servidores MCP que expõem recursos, prompts 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Heading3"/>
      </w:pPr>
      <w:r>
        <w:t xml:space="preserve">2.1.4 FERRAMENTAS ESPECÍFICAS DE INTEGRAÇÃO</w:t>
      </w:r>
    </w:p>
    <w:p>
      <w:pPr>
        <w:pStyle w:val="FirstParagraph"/>
      </w:pPr>
      <w:r>
        <w:t xml:space="preserve">A pesquisa investigou quatro abordagens distintas para a integração dos agentes conversacionais com sistemas computacionais, utilizando ferramentas específicas para cada uma:</w:t>
      </w:r>
    </w:p>
    <w:p>
      <w:pPr>
        <w:numPr>
          <w:ilvl w:val="0"/>
          <w:numId w:val="1016"/>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 Stack Overflow Developer Survey, onde apareceu como o banco de dados mais admirado e desejado por desenvolvedores em 2023</w:t>
      </w:r>
      <w:r>
        <w:t xml:space="preserve"> </w:t>
      </w:r>
      <w:r>
        <w:t xml:space="preserve">[@enterprisedb2023postgresql]</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[@enterprisedb2023postgresql; @enterprisedb2023security]</w:t>
      </w:r>
      <w:r>
        <w:t xml:space="preserve">.</w:t>
      </w:r>
    </w:p>
    <w:p>
      <w:pPr>
        <w:numPr>
          <w:ilvl w:val="0"/>
          <w:numId w:val="1016"/>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[@sequelize2024]</w:t>
      </w:r>
      <w:r>
        <w:t xml:space="preserve">. Empresas reconhecidas, como PayPal e Red Hat, utilizam Sequelize em produção, reforçando sua credibilidade e robustez. Além disso, o uso de Sequelize proporciona segurança adicional ao prevenir automaticamente ataques de SQL injection por meio de queries parametrizadas, oferecendo também suporte para caches e consultas em SQL bruto quando necessário, equilibrando segurança com flexibilidade e desempenho</w:t>
      </w:r>
      <w:r>
        <w:t xml:space="preserve"> </w:t>
      </w:r>
      <w:r>
        <w:t xml:space="preserve">[@eversql2023orms]</w:t>
      </w:r>
      <w:r>
        <w:t xml:space="preserve">.</w:t>
      </w:r>
    </w:p>
    <w:p>
      <w:pPr>
        <w:numPr>
          <w:ilvl w:val="0"/>
          <w:numId w:val="1016"/>
        </w:numPr>
      </w:pPr>
      <w:r>
        <w:rPr>
          <w:b/>
          <w:bCs/>
        </w:rPr>
        <w:t xml:space="preserve">OpenAPI para Integração via API/Swagger:</w:t>
      </w:r>
      <w:r>
        <w:t xml:space="preserve"> </w:t>
      </w:r>
      <w:r>
        <w:t xml:space="preserve">foi selecionado devido à sua ampla adoção como padrão da indústria para definição de interfaces RESTful,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[@OpenAPIInitiative2023; @Postman2023]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[@OpenAI2023]</w:t>
      </w:r>
      <w:r>
        <w:t xml:space="preserve">.</w:t>
      </w:r>
    </w:p>
    <w:p>
      <w:pPr>
        <w:pStyle w:val="Compact"/>
        <w:numPr>
          <w:ilvl w:val="0"/>
          <w:numId w:val="1017"/>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MCP, permitindo que agentes conversem com fontes externas de forma segura, modular e escalável. Desde seu lançamento aberto, entre fevereiro e abril de 2025, o protocolo ganhou tração significativa com a criação de diversos servidores prontos para PostgreSQL, GitHub, Slack, entre outros, além de SDKs em múltiplas linguagens</w:t>
      </w:r>
      <w:r>
        <w:t xml:space="preserve"> </w:t>
      </w:r>
      <w:r>
        <w:t xml:space="preserve">[@Anthropic2024; @MCPDocs2024]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 características fundamentais quando agentes com poder de raciocínio, como LLMs, precisam acessar recursos sensíveis de forma controlada e auditável</w:t>
      </w:r>
      <w:r>
        <w:t xml:space="preserve"> </w:t>
      </w:r>
      <w:r>
        <w:t xml:space="preserve">[@Anthropic2024]</w:t>
      </w:r>
      <w:r>
        <w:t xml:space="preserve">.</w:t>
      </w:r>
    </w:p>
    <w:bookmarkEnd w:id="31"/>
    <w:bookmarkEnd w:id="32"/>
    <w:bookmarkStart w:id="33" w:name="métodos"/>
    <w:p>
      <w:pPr>
        <w:pStyle w:val="Heading2"/>
      </w:pPr>
      <w:r>
        <w:t xml:space="preserve">2.2 MÉTODOS</w:t>
      </w:r>
    </w:p>
    <w:p>
      <w:pPr>
        <w:pStyle w:val="FirstParagraph"/>
      </w:pPr>
      <w:r>
        <w:t xml:space="preserve">Em métodos deve ter uma explicação minuciosa, detalhada, rigorosa e</w:t>
      </w:r>
      <w:r>
        <w:t xml:space="preserve"> </w:t>
      </w:r>
      <w:r>
        <w:t xml:space="preserve">exata de toda ação desenvolvida no método (caminho) do trabalho de</w:t>
      </w:r>
      <w:r>
        <w:t xml:space="preserve"> </w:t>
      </w:r>
      <w:r>
        <w:t xml:space="preserve">pesquisa. É necessário descrever quais equipamentos serão utilizados e</w:t>
      </w:r>
      <w:r>
        <w:t xml:space="preserve"> </w:t>
      </w:r>
      <w:r>
        <w:t xml:space="preserve">todo o procedimento experimental.</w:t>
      </w:r>
    </w:p>
    <w:p>
      <w:pPr>
        <w:pStyle w:val="BodyText"/>
      </w:pPr>
      <w:r>
        <w:t xml:space="preserve">É a explicação do tipo de pesquisa, do instrumental utilizado</w:t>
      </w:r>
      <w:r>
        <w:t xml:space="preserve"> </w:t>
      </w:r>
      <w:r>
        <w:t xml:space="preserve">(softwares, equipamentos, questionários, entrevistas, etc.), do tempo</w:t>
      </w:r>
      <w:r>
        <w:t xml:space="preserve"> </w:t>
      </w:r>
      <w:r>
        <w:t xml:space="preserve">previsto, do laboratório, das formas de tabulação e tratamento dos</w:t>
      </w:r>
      <w:r>
        <w:t xml:space="preserve"> </w:t>
      </w:r>
      <w:r>
        <w:t xml:space="preserve">dados, enfim, de tudo aquilo que se utilizou ou será utilizado no</w:t>
      </w:r>
      <w:r>
        <w:t xml:space="preserve"> </w:t>
      </w:r>
      <w:r>
        <w:t xml:space="preserve">trabalho.</w:t>
      </w:r>
    </w:p>
    <w:p>
      <w:pPr>
        <w:pStyle w:val="BodyText"/>
      </w:pPr>
      <w:r>
        <w:rPr>
          <w:b/>
          <w:bCs/>
        </w:rPr>
        <w:t xml:space="preserve">A seguir regras de formatação para o desenvolvimento do artigo:</w:t>
      </w:r>
    </w:p>
    <w:p>
      <w:pPr>
        <w:pStyle w:val="BodyText"/>
      </w:pPr>
      <w:r>
        <w:t xml:space="preserve">É de extrema importância realizar uma pesquisa bibliográfica, do tema a</w:t>
      </w:r>
      <w:r>
        <w:t xml:space="preserve"> </w:t>
      </w:r>
      <w:r>
        <w:t xml:space="preserve">ser estudado, baseada em periódicos nacionais e internacionais (artigos,</w:t>
      </w:r>
      <w:r>
        <w:t xml:space="preserve"> </w:t>
      </w:r>
      <w:r>
        <w:t xml:space="preserve">anais de congressos, revistas especializadas) e também em livros, teses</w:t>
      </w:r>
      <w:r>
        <w:t xml:space="preserve"> </w:t>
      </w:r>
      <w:r>
        <w:t xml:space="preserve">e dissertações para direcionar os procedimentos experimentais adotados e</w:t>
      </w:r>
      <w:r>
        <w:t xml:space="preserve"> </w:t>
      </w:r>
      <w:r>
        <w:t xml:space="preserve">os resultados e discussões obtidos. Essas referências deveram ser</w:t>
      </w:r>
      <w:r>
        <w:t xml:space="preserve"> </w:t>
      </w:r>
      <w:r>
        <w:t xml:space="preserve">citadas ao longo do artigo.</w:t>
      </w:r>
    </w:p>
    <w:p>
      <w:pPr>
        <w:pStyle w:val="BodyText"/>
      </w:pPr>
      <w:r>
        <w:t xml:space="preserve">É importante compreender que cópias de trechos deverão ser feitas de</w:t>
      </w:r>
      <w:r>
        <w:t xml:space="preserve"> </w:t>
      </w:r>
      <w:r>
        <w:t xml:space="preserve">acordo com as normas da ABNT, ou seja: citações diretas e/ou indiretas,</w:t>
      </w:r>
      <w:r>
        <w:t xml:space="preserve"> </w:t>
      </w:r>
      <w:r>
        <w:t xml:space="preserve">curtas e/ou longas. Cópia de trechos e/ou na íntegra sem os devidos</w:t>
      </w:r>
      <w:r>
        <w:t xml:space="preserve"> </w:t>
      </w:r>
      <w:r>
        <w:t xml:space="preserve">créditos é considerado plágio (lei nº 9.610, de 19.02.98, que altera,</w:t>
      </w:r>
      <w:r>
        <w:t xml:space="preserve"> </w:t>
      </w:r>
      <w:r>
        <w:t xml:space="preserve">atualiza e consolida a legislação sobre direitos autorais). Não se</w:t>
      </w:r>
      <w:r>
        <w:t xml:space="preserve"> </w:t>
      </w:r>
      <w:r>
        <w:t xml:space="preserve">esqueça de nomear a seção.</w:t>
      </w:r>
    </w:p>
    <w:bookmarkEnd w:id="33"/>
    <w:bookmarkEnd w:id="34"/>
    <w:bookmarkStart w:id="35" w:name="resultados-e-discussões"/>
    <w:p>
      <w:pPr>
        <w:pStyle w:val="Heading1"/>
      </w:pPr>
      <w:r>
        <w:t xml:space="preserve">3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35"/>
    <w:bookmarkStart w:id="36" w:name="considerações-finais"/>
    <w:p>
      <w:pPr>
        <w:pStyle w:val="Heading1"/>
      </w:pPr>
      <w:r>
        <w:t xml:space="preserve">4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36"/>
    <w:bookmarkStart w:id="37" w:name="referências"/>
    <w:p>
      <w:pPr>
        <w:pStyle w:val="Heading1"/>
      </w:pPr>
      <w:r>
        <w:t xml:space="preserve">REFERÊNCIAS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Graduando em Engenharia de software no semestre letivo de 2024-2. E-mail: castro.lucas290@gmail.com</w:t>
      </w:r>
    </w:p>
  </w:footnote>
  <w:footnote w:id="21">
    <w:p>
      <w:pPr>
        <w:pStyle w:val="FootnoteText"/>
      </w:pPr>
      <w:r>
        <w:rPr>
          <w:rStyle w:val="FootnoteReference"/>
        </w:rPr>
        <w:footnoteRef/>
      </w:r>
      <w:r>
        <w:t xml:space="preserve"> </w:t>
      </w:r>
      <w:r>
        <w:t xml:space="preserve">Professor do Centro Universitário UniSATC E-mail: thyerri.mezzari@satc.edu.br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3"/>
  </w:num>
  <w:num w:numId="1007">
    <w:abstractNumId w:val="992"/>
  </w:num>
  <w:num w:numId="1008">
    <w:abstractNumId w:val="993"/>
  </w:num>
  <w:num w:numId="1009">
    <w:abstractNumId w:val="992"/>
  </w:num>
  <w:num w:numId="1010">
    <w:abstractNumId w:val="993"/>
  </w:num>
  <w:num w:numId="1011">
    <w:abstractNumId w:val="992"/>
  </w:num>
  <w:num w:numId="1012">
    <w:abstractNumId w:val="992"/>
  </w:num>
  <w:num w:numId="1013">
    <w:abstractNumId w:val="992"/>
  </w:num>
  <w:num w:numId="1014">
    <w:abstractNumId w:val="992"/>
  </w:num>
  <w:num w:numId="1015">
    <w:abstractNumId w:val="992"/>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 CONVERSACIONAL PARA INTERAÇÃO APRIMORADA EM SISTEMAS</dc:title>
  <dc:creator/>
  <cp:keywords/>
  <dcterms:created xsi:type="dcterms:W3CDTF">2025-04-12T06:14:55Z</dcterms:created>
  <dcterms:modified xsi:type="dcterms:W3CDTF">2025-04-12T06:14:55Z</dcterms:modified>
</cp:coreProperties>
</file>

<file path=docProps/custom.xml><?xml version="1.0" encoding="utf-8"?>
<Properties xmlns="http://schemas.openxmlformats.org/officeDocument/2006/custom-properties" xmlns:vt="http://schemas.openxmlformats.org/officeDocument/2006/docPropsVTypes"/>
</file>