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bookmarkStart w:id="22" w:name="X8e8220cab18ad8eb4e0e76b842421531bf7e362"/>
    <w:p>
      <w:pPr>
        <w:pStyle w:val="Heading3"/>
      </w:pPr>
      <w:r>
        <w:t xml:space="preserve">Artigo em produção - Checklist de produção</w:t>
      </w:r>
    </w:p>
    <w:p>
      <w:pPr>
        <w:pStyle w:val="Compact"/>
        <w:numPr>
          <w:ilvl w:val="0"/>
          <w:numId w:val="1001"/>
        </w:numPr>
      </w:pPr>
      <w:r>
        <w:t xml:space="preserve">Edição do artigo</w:t>
      </w:r>
    </w:p>
    <w:p>
      <w:pPr>
        <w:pStyle w:val="Compact"/>
        <w:numPr>
          <w:ilvl w:val="1"/>
          <w:numId w:val="1002"/>
        </w:numPr>
      </w:pPr>
      <w:r>
        <w:t xml:space="preserve">Aplicar ABNT</w:t>
      </w:r>
    </w:p>
    <w:p>
      <w:pPr>
        <w:pStyle w:val="Compact"/>
        <w:numPr>
          <w:ilvl w:val="1"/>
          <w:numId w:val="1003"/>
        </w:numPr>
      </w:pPr>
      <w:r>
        <w:t xml:space="preserve">Aplicar formatação da SATC</w:t>
      </w:r>
    </w:p>
    <w:p>
      <w:pPr>
        <w:pStyle w:val="Compact"/>
        <w:numPr>
          <w:ilvl w:val="0"/>
          <w:numId w:val="1004"/>
        </w:numPr>
      </w:pPr>
      <w:r>
        <w:t xml:space="preserve">Escrita</w:t>
      </w:r>
    </w:p>
    <w:p>
      <w:pPr>
        <w:pStyle w:val="Compact"/>
        <w:numPr>
          <w:ilvl w:val="1"/>
          <w:numId w:val="1005"/>
        </w:numPr>
      </w:pPr>
      <w:r>
        <w:t xml:space="preserve">Resumo</w:t>
      </w:r>
    </w:p>
    <w:p>
      <w:pPr>
        <w:pStyle w:val="Compact"/>
        <w:numPr>
          <w:ilvl w:val="2"/>
          <w:numId w:val="1006"/>
        </w:numPr>
      </w:pPr>
      <w:r>
        <w:t xml:space="preserve">Esqueleto</w:t>
      </w:r>
    </w:p>
    <w:p>
      <w:pPr>
        <w:pStyle w:val="Compact"/>
        <w:numPr>
          <w:ilvl w:val="2"/>
          <w:numId w:val="1007"/>
        </w:numPr>
      </w:pPr>
      <w:r>
        <w:t xml:space="preserve">Revisão após finalizar o artigo</w:t>
      </w:r>
    </w:p>
    <w:p>
      <w:pPr>
        <w:pStyle w:val="Compact"/>
        <w:numPr>
          <w:ilvl w:val="1"/>
          <w:numId w:val="1008"/>
        </w:numPr>
      </w:pPr>
      <w:r>
        <w:t xml:space="preserve">Introdução (preciso de umas referências)</w:t>
      </w:r>
    </w:p>
    <w:p>
      <w:pPr>
        <w:pStyle w:val="Compact"/>
        <w:numPr>
          <w:ilvl w:val="1"/>
          <w:numId w:val="1009"/>
        </w:numPr>
      </w:pPr>
      <w:r>
        <w:t xml:space="preserve">Material e métodos</w:t>
      </w:r>
    </w:p>
    <w:p>
      <w:pPr>
        <w:pStyle w:val="Compact"/>
        <w:numPr>
          <w:ilvl w:val="2"/>
          <w:numId w:val="1010"/>
        </w:numPr>
      </w:pPr>
      <w:r>
        <w:t xml:space="preserve">Abordagem geral</w:t>
      </w:r>
    </w:p>
    <w:p>
      <w:pPr>
        <w:pStyle w:val="Compact"/>
        <w:numPr>
          <w:ilvl w:val="2"/>
          <w:numId w:val="1011"/>
        </w:numPr>
      </w:pPr>
      <w:r>
        <w:t xml:space="preserve">Procedimento experimental de cada alternativa</w:t>
      </w:r>
    </w:p>
    <w:p>
      <w:pPr>
        <w:pStyle w:val="Compact"/>
        <w:numPr>
          <w:ilvl w:val="1"/>
          <w:numId w:val="1012"/>
        </w:numPr>
      </w:pPr>
      <w:r>
        <w:t xml:space="preserve">Resultados e discussão</w:t>
      </w:r>
    </w:p>
    <w:p>
      <w:pPr>
        <w:pStyle w:val="Compact"/>
        <w:numPr>
          <w:ilvl w:val="1"/>
          <w:numId w:val="1013"/>
        </w:numPr>
      </w:pPr>
      <w:r>
        <w:t xml:space="preserve">Considerações finais</w:t>
      </w:r>
    </w:p>
    <w:p>
      <w:pPr>
        <w:pStyle w:val="Compact"/>
        <w:numPr>
          <w:ilvl w:val="1"/>
          <w:numId w:val="1014"/>
        </w:numPr>
      </w:pPr>
      <w:r>
        <w:t xml:space="preserve">Referências</w:t>
      </w:r>
    </w:p>
    <w:p>
      <w:pPr>
        <w:pStyle w:val="Compact"/>
        <w:numPr>
          <w:ilvl w:val="2"/>
          <w:numId w:val="1015"/>
        </w:numPr>
      </w:pPr>
      <w:r>
        <w:t xml:space="preserve">Formatar ABNT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bookmarkEnd w:id="22"/>
    <w:bookmarkStart w:id="23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evolução das interfaces de usuário tem gerado uma diversidade de padrões de design e usabilidade, resultando frequentemente em barreiras para a plena acessibilidade e interação dos usuários com os sistemas digitais. Com o aumento da complexidade do frontend e a multiplicidade de paradigmas de interação, muitos usuários enfrentam dificuldades significativas para utilizar efetivamente as funcionalidades oferecidas pelos sistemas computacionais modernos</w:t>
      </w:r>
      <w:r>
        <w:t xml:space="preserve"> </w:t>
      </w:r>
      <w:r>
        <w:t xml:space="preserve">[@RAPP201849]</w:t>
      </w:r>
      <w:r>
        <w:t xml:space="preserve"> </w:t>
      </w:r>
      <w:r>
        <w:t xml:space="preserve">[@Kocaballi2019]</w:t>
      </w:r>
      <w:r>
        <w:t xml:space="preserve">.</w:t>
      </w:r>
    </w:p>
    <w:p>
      <w:pPr>
        <w:pStyle w:val="BodyText"/>
      </w:pPr>
      <w:r>
        <w:t xml:space="preserve">Nesse cenário, os agentes conversacionais baseados em inteligência artificial emergem como uma alternativa promissora para simplificar a comunicação entre humanos e máquinas, oferecendo uma camada intermediária de interação que pode traduzir comandos em linguagem natural para ações específicas no sistema.</w:t>
      </w:r>
    </w:p>
    <w:p>
      <w:pPr>
        <w:pStyle w:val="BodyText"/>
      </w:pPr>
      <w:r>
        <w:t xml:space="preserve">Estudos recentes têm demonstrado que agentes conversacionais podem aprimorar significativamente a experiência do usuário ao simplificar interações com sistemas complexos</w:t>
      </w:r>
      <w:r>
        <w:t xml:space="preserve"> </w:t>
      </w:r>
      <w:r>
        <w:t xml:space="preserve">[@fast2017irisconversationalagentcomplex]</w:t>
      </w:r>
      <w:r>
        <w:t xml:space="preserve">. Além disso, a implementação de interfaces baseadas em linguagem natural tem mostrado potencial para melhorar a usabilidade em contextos domésticos e inteligentes, reduzindo o tempo e o esforço necessários para completar tarefas complexas</w:t>
      </w:r>
      <w:r>
        <w:t xml:space="preserve"> </w:t>
      </w:r>
      <w:r>
        <w:t xml:space="preserve">[@Guo2024Doppelganger]</w:t>
      </w:r>
      <w:r>
        <w:t xml:space="preserve">. Ademais, tais interfaces oferecem vantagens consideráveis em termos de acessibilidade, permitindo uma comunicação mais inclusiva e adaptável a usuários com diferentes necessidades especiais</w:t>
      </w:r>
      <w:r>
        <w:t xml:space="preserve"> </w:t>
      </w:r>
      <w:r>
        <w:t xml:space="preserve">[@Lister2020AccessibleCU]</w:t>
      </w:r>
      <w:r>
        <w:t xml:space="preserve"> </w:t>
      </w:r>
      <w:r>
        <w:t xml:space="preserve">[@Deng2023AMA]</w:t>
      </w:r>
      <w:r>
        <w:t xml:space="preserve">.</w:t>
      </w:r>
    </w:p>
    <w:p>
      <w:pPr>
        <w:pStyle w:val="BodyText"/>
      </w:pPr>
      <w:r>
        <w:t xml:space="preserve">A problemática central desta pesquisa reside na questão: de que forma um agente conversacional baseado em IA pode potencializar a interação entre usuários e sistemas, promovendo uma comunicação fluida mesmo em ambientes com interfaces complexas? Essa pergunta reflete a necessidade crescente de soluções que democratizem o acesso à tecnologia, reduzindo a curva de aprendizado necessária para a utilização de sistemas especializados e tornando-os mais acessíveis para diferentes perfis de usuários.</w:t>
      </w:r>
    </w:p>
    <w:p>
      <w:pPr>
        <w:pStyle w:val="BodyText"/>
      </w:pPr>
      <w:r>
        <w:t xml:space="preserve">Adicionalmente, trabalhos recentes indicam que avanços na arquitetura de modelos de IA, como o uso de transformers sem camadas de normalização, podem influenciar positivamente o desempenho e a eficiência desses agentes</w:t>
      </w:r>
      <w:r>
        <w:t xml:space="preserve"> </w:t>
      </w:r>
      <w:r>
        <w:t xml:space="preserve">[@Zhu2025DyT]</w:t>
      </w:r>
      <w:r>
        <w:t xml:space="preserve">.</w:t>
      </w:r>
    </w:p>
    <w:p>
      <w:pPr>
        <w:pStyle w:val="BodyText"/>
      </w:pPr>
      <w:r>
        <w:t xml:space="preserve">A relevância deste estudo evidencia-se pelo potencial transformador que os agentes conversacionais representam para a área de interação humano-computador. Ao implementar um sistema intermediário capaz de interpretar linguagem natural e traduzi-la em ações específicas dentro de um sistema, cria-se uma ponte que permite aos usuários interagir de forma mais intuitiva e natural com as tecnologias digitais. Esta abordagem tem o potencial de mitigar as barreiras impostas por interfaces complexas, contribuindo para uma maior inclusão digital e para a melhoria da experiência do usuário em diversos contextos de aplicação.</w:t>
      </w:r>
    </w:p>
    <w:bookmarkEnd w:id="23"/>
    <w:bookmarkStart w:id="32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Este trabalho adota uma abordagem metodológica estruturada em múltiplas etapas para investigar e avaliar diferentes métodos de integração entre agentes conversacionais baseados em LLMs (Large Language Models) e sistemas computacionais. A pesquisa se desenvolve através de uma análise comparativa de quatro abordagens distintas de integração, cada uma com suas características, vantagens e limitações específicas.</w:t>
      </w:r>
    </w:p>
    <w:p>
      <w:pPr>
        <w:pStyle w:val="BodyText"/>
      </w:pPr>
      <w:r>
        <w:t xml:space="preserve">O processo investigativo inicia-se com uma revisão sistemática da literatura sobre integrações entre LLMs e sistemas, estabelecendo uma base teórica sólida para a análise subsequente. Em seguida, são exploradas quatro abordagens principais de integração: (1) conexão direta com banco de dados, permitindo consultas e manipulações diretas; (2) integração via plugins ORM, facilitando o acesso através de camadas de abstração existentes; (3) integração via API/Swagger, utilizando interfaces padronizadas de comunicação; e (4) integração via Model Context Protocol (MCP), explorando um paradigma emergente de comunicação entre LLMs e sistemas.</w:t>
      </w:r>
    </w:p>
    <w:p>
      <w:pPr>
        <w:pStyle w:val="BodyText"/>
      </w:pPr>
      <w:r>
        <w:t xml:space="preserve">Para cada abordagem, será desenvolvida uma prova de conceito que demonstre sua viabilidade técnica e permita uma avaliação objetiva de seus aspectos funcionais e não-funcionais. A avaliação seguirá critérios predefinidos, incluindo desempenho, segurança, facilidade de implementação, manutenibilidade e experiência do usuário. Os resultados serão documentados e analisados de forma sistemática, permitindo uma comparação objetiva entre as diferentes abordagens.</w:t>
      </w:r>
    </w:p>
    <w:bookmarkStart w:id="30" w:name="materiais"/>
    <w:p>
      <w:pPr>
        <w:pStyle w:val="Heading2"/>
      </w:pPr>
      <w:r>
        <w:t xml:space="preserve">2.1 MATERIAIS</w:t>
      </w:r>
    </w:p>
    <w:p>
      <w:pPr>
        <w:pStyle w:val="FirstParagraph"/>
      </w:pPr>
      <w:r>
        <w:t xml:space="preserve">Para garantir a rigorosidade científica e a reprodutibilidade dos experimentos conduzidos neste estudo, é essencial uma seleção criteriosa dos materiais e ferramentas utilizados. Esta seção detalha os recursos específicos empregados na condução desta pesquisa, justificando sua escolha baseada na eficiência, popularidade, robustez e aplicabilidade prática dentro do contexto dos agentes conversacionais e integração de sistemas.</w:t>
      </w:r>
    </w:p>
    <w:bookmarkStart w:id="24" w:name="X1155c7d9e8fcb7fc4f8470f8237ad2c90301ca3"/>
    <w:p>
      <w:pPr>
        <w:pStyle w:val="Heading3"/>
      </w:pPr>
      <w:r>
        <w:t xml:space="preserve">Node.js para Desenvolvimento das Provas de Conceito</w:t>
      </w:r>
    </w:p>
    <w:p>
      <w:pPr>
        <w:pStyle w:val="FirstParagraph"/>
      </w:pPr>
      <w:r>
        <w:t xml:space="preserve">Node.js foi escolhido como plataforma principal para o desenvolvimento das provas de conceito devido à sua comprovada eficácia na integração de sistemas baseados em inteligência artificial (IA), especialmente com agentes conversacionais e Large Language Models (LLMs). A plataforma é amplamente adotada devido à sua arquitetura orientada a eventos e capacidade de gerenciar eficientemente múltiplas conexões simultâneas, essencial para aplicações que exigem respostas rápidas em tempo real</w:t>
      </w:r>
      <w:r>
        <w:t xml:space="preserve"> </w:t>
      </w:r>
      <w:r>
        <w:t xml:space="preserve">[@cherednichenko:hal-04545073]</w:t>
      </w:r>
      <w:r>
        <w:t xml:space="preserve">.</w:t>
      </w:r>
    </w:p>
    <w:p>
      <w:pPr>
        <w:pStyle w:val="BodyText"/>
      </w:pPr>
      <w:r>
        <w:t xml:space="preserve">O Hugging Face fornece bibliotecas JavaScript específicas compatíveis com Node.js, como o</w:t>
      </w:r>
      <w:r>
        <w:t xml:space="preserve"> </w:t>
      </w:r>
      <w:r>
        <w:rPr>
          <w:rStyle w:val="VerbatimChar"/>
        </w:rPr>
        <w:t xml:space="preserve">@huggingface/inference</w:t>
      </w:r>
      <w:r>
        <w:t xml:space="preserve">, permitindo acesso direto a mais de 100 mil modelos pré-treinados com suporte a TypeScript. Isso simplifica significativamente a integração com IA, destacando a robustez técnica e facilidade de adoção do Node.js em aplicações modernas</w:t>
      </w:r>
      <w:r>
        <w:t xml:space="preserve"> </w:t>
      </w:r>
      <w:r>
        <w:t xml:space="preserve">[@HuggingFace2024]</w:t>
      </w:r>
      <w:r>
        <w:t xml:space="preserve">.</w:t>
      </w:r>
    </w:p>
    <w:p>
      <w:pPr>
        <w:pStyle w:val="BodyText"/>
      </w:pPr>
      <w:r>
        <w:t xml:space="preserve">Grandes empresas também reforçam a relevância de Node.js ao disponibilizarem SDKs específicos, como o da IBM para o Watsonx, lançado em 2023. Este SDK facilita o uso direto de modelos generativos robustos da IBM em aplicações Node.js, destacando sua relevância estratégica no ambiente empresarial</w:t>
      </w:r>
      <w:r>
        <w:t xml:space="preserve"> </w:t>
      </w:r>
      <w:r>
        <w:t xml:space="preserve">[@IBM2023WatsonxSDK]</w:t>
      </w:r>
      <w:r>
        <w:t xml:space="preserve">.</w:t>
      </w:r>
    </w:p>
    <w:p>
      <w:pPr>
        <w:pStyle w:val="BodyText"/>
      </w:pPr>
      <w:r>
        <w:t xml:space="preserve">Adicionalmente, a documentação oficial do Node.js ressalta sua capacidade superior de lidar com streaming de dados através de streams e pipelines. Essa funcionalidade permite transmitir resultados incrementais de IA aos clientes com baixa latência, tornando-o ideal para chatbots e serviços em tempo real que dependem de respostas imediatas</w:t>
      </w:r>
      <w:r>
        <w:t xml:space="preserve"> </w:t>
      </w:r>
      <w:r>
        <w:t xml:space="preserve">[@Nodejs2024Docs]</w:t>
      </w:r>
      <w:r>
        <w:t xml:space="preserve">.</w:t>
      </w:r>
    </w:p>
    <w:p>
      <w:pPr>
        <w:pStyle w:val="BodyText"/>
      </w:pPr>
      <w:r>
        <w:t xml:space="preserve">Por fim, relatórios da Red Hat destacam que o uso eficiente da arquitetura assíncrona do Node.js possibilita a criação de agentes baseados em LLMs com alta performance e escalabilidade. Isso garante um gerenciamento eficiente de múltiplas operações paralelas, essencial para aplicações intensivas em IA e integração com APIs externas</w:t>
      </w:r>
      <w:r>
        <w:t xml:space="preserve"> </w:t>
      </w:r>
      <w:r>
        <w:t xml:space="preserve">[@RedHat2024LLMNode]</w:t>
      </w:r>
      <w:r>
        <w:t xml:space="preserve">.</w:t>
      </w:r>
    </w:p>
    <w:bookmarkEnd w:id="24"/>
    <w:bookmarkStart w:id="25" w:name="testes-end-to-end-e2e"/>
    <w:p>
      <w:pPr>
        <w:pStyle w:val="Heading3"/>
      </w:pPr>
      <w:r>
        <w:t xml:space="preserve">Testes End-to-End (e2e)</w:t>
      </w:r>
    </w:p>
    <w:p>
      <w:pPr>
        <w:pStyle w:val="FirstParagraph"/>
      </w:pPr>
      <w:r>
        <w:t xml:space="preserve">Para validar integralmente o funcionamento dos agentes conversacionais propostos, os testes End-to-End foram implementados. Esta metodologia permite simular e avaliar a jornada completa dos usuários desde o início até a conclusão de tarefas específicas, assegurando que cada abordagem de integração seja confiável e funcional em situações reais de uso. A utilização de testes e2e é fundamental para a identificação precoce de falhas de comunicação e inconsistências no comportamento dos agentes conversacionais.</w:t>
      </w:r>
    </w:p>
    <w:bookmarkEnd w:id="25"/>
    <w:bookmarkStart w:id="26" w:name="X5894334ccf94b43724f17f3e7e1f3353611dc5c"/>
    <w:p>
      <w:pPr>
        <w:pStyle w:val="Heading3"/>
      </w:pPr>
      <w:r>
        <w:t xml:space="preserve">Modelos de Linguagem de Grande Escala (LLMs)</w:t>
      </w:r>
    </w:p>
    <w:p>
      <w:pPr>
        <w:pStyle w:val="FirstParagraph"/>
      </w:pPr>
      <w:r>
        <w:t xml:space="preserve">Os modelos de linguagem (LLMs), incluindo tecnologias como OpenAI GPT, Anthropic e modelos disponibilizados pela Google, são essenciais neste estudo devido à sua capacidade de interpretar e gerar linguagem natural de forma avançada e eficaz. Estes modelos foram selecionados por sua performance comprovada e ampla adoção em pesquisas acadêmicas e no mercado corporativo, proporcionando um sólido embasamento para as funcionalidades de interação do agente conversacional.</w:t>
      </w:r>
    </w:p>
    <w:bookmarkEnd w:id="26"/>
    <w:bookmarkStart w:id="27" w:name="ferramentas-específicas-de-integração"/>
    <w:p>
      <w:pPr>
        <w:pStyle w:val="Heading3"/>
      </w:pPr>
      <w:r>
        <w:t xml:space="preserve">Ferramentas Específicas de Integração</w:t>
      </w:r>
    </w:p>
    <w:p>
      <w:pPr>
        <w:pStyle w:val="FirstParagraph"/>
      </w:pPr>
      <w:r>
        <w:t xml:space="preserve">A pesquisa investigou quatro abordagens distintas para a integração dos agentes conversacionais com sistemas computacionais, utilizando ferramentas específicas para cada uma: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PostgreSQL para Conexão Direta com Banco de Dados:</w:t>
      </w:r>
      <w:r>
        <w:t xml:space="preserve"> </w:t>
      </w:r>
      <w:r>
        <w:t xml:space="preserve">Selecionado por sua robustez, estabilidade e desempenho em ambientes produtivos, o PostgreSQL permite consultas diretas aos dados brutos, oferecendo uma abordagem direta e eficiente.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Sequelize para Integração via ORM:</w:t>
      </w:r>
      <w:r>
        <w:t xml:space="preserve"> </w:t>
      </w:r>
      <w:r>
        <w:t xml:space="preserve">Este ORM proporciona uma camada adicional de segurança e abstração, facilitando a manutenção e a adaptação da integração ao esquema de dados existente, reduzindo complexidade técnica e aumentando a eficiência operacional.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OpenAPI para Integração via API/Swagger:</w:t>
      </w:r>
      <w:r>
        <w:t xml:space="preserve"> </w:t>
      </w:r>
      <w:r>
        <w:t xml:space="preserve">A utilização da especificação OpenAPI oferece uma interface padronizada e consistente para comunicação com serviços existentes através de APIs, garantindo interoperabilidade e simplificando o desenvolvimento.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Model Context Protocol (MCP):</w:t>
      </w:r>
      <w:r>
        <w:t xml:space="preserve"> </w:t>
      </w:r>
      <w:r>
        <w:t xml:space="preserve">Este protocolo emergente foi explorado devido à sua flexibilidade e capacidade de fornecer uma estrutura padronizada para interação com ferramentas, essencial para futuras expansões e integrações com sistemas dinâmicos e complexos.</w:t>
      </w:r>
    </w:p>
    <w:bookmarkEnd w:id="27"/>
    <w:bookmarkStart w:id="28" w:name="X45fc51e4bf6cff63df6a72432e280f8d2c34db1"/>
    <w:p>
      <w:pPr>
        <w:pStyle w:val="Heading3"/>
      </w:pPr>
      <w:r>
        <w:t xml:space="preserve">Importância e Relevância dos Materiais Escolhidos</w:t>
      </w:r>
    </w:p>
    <w:p>
      <w:pPr>
        <w:pStyle w:val="FirstParagraph"/>
      </w:pPr>
      <w:r>
        <w:t xml:space="preserve">Os materiais escolhidos destacam-se não apenas pela capacidade técnica individual, mas também pela complementaridade entre si. Essa abordagem assegura que a pesquisa seja abrangente e represente adequadamente os desafios e soluções reais enfrentados na integração de agentes conversacionais avançados em sistemas complexos.</w:t>
      </w:r>
    </w:p>
    <w:bookmarkEnd w:id="28"/>
    <w:bookmarkStart w:id="29" w:name="conclusão-da-seleção-dos-materiais"/>
    <w:p>
      <w:pPr>
        <w:pStyle w:val="Heading3"/>
      </w:pPr>
      <w:r>
        <w:t xml:space="preserve">Conclusão da Seleção dos Materiais</w:t>
      </w:r>
    </w:p>
    <w:p>
      <w:pPr>
        <w:pStyle w:val="FirstParagraph"/>
      </w:pPr>
      <w:r>
        <w:t xml:space="preserve">A seleção estratégica dos materiais e ferramentas utilizados neste estudo não somente garante a qualidade científica e técnica dos experimentos, mas também promove avanços significativos na interação entre usuários e sistemas. Ao incorporar tecnologias reconhecidas pela comunidade científica e pelo mercado, este estudo busca contribuir ativamente para o desenvolvimento de soluções mais eficazes e acessíveis, impactando positivamente a experiência do usuário em diversas aplicações práticas.</w:t>
      </w:r>
    </w:p>
    <w:bookmarkEnd w:id="29"/>
    <w:bookmarkEnd w:id="30"/>
    <w:bookmarkStart w:id="31" w:name="métodos"/>
    <w:p>
      <w:pPr>
        <w:pStyle w:val="Heading2"/>
      </w:pPr>
      <w:r>
        <w:t xml:space="preserve">2.2 MÉTODOS</w:t>
      </w:r>
    </w:p>
    <w:p>
      <w:pPr>
        <w:pStyle w:val="FirstParagraph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bookmarkEnd w:id="31"/>
    <w:bookmarkEnd w:id="32"/>
    <w:bookmarkStart w:id="33" w:name="resultados-e-discussões"/>
    <w:p>
      <w:pPr>
        <w:pStyle w:val="Heading1"/>
      </w:pPr>
      <w:r>
        <w:t xml:space="preserve">3 RESULTADOS E DISCUSSÕES</w:t>
      </w:r>
    </w:p>
    <w:p>
      <w:pPr>
        <w:pStyle w:val="FirstParagraph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bookmarkEnd w:id="33"/>
    <w:bookmarkStart w:id="34" w:name="considerações-finais"/>
    <w:p>
      <w:pPr>
        <w:pStyle w:val="Heading1"/>
      </w:pPr>
      <w:r>
        <w:t xml:space="preserve">4 CONSIDERAÇÕES FINAIS</w:t>
      </w:r>
    </w:p>
    <w:p>
      <w:pPr>
        <w:pStyle w:val="FirstParagraph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34"/>
    <w:bookmarkStart w:id="35" w:name="referências"/>
    <w:p>
      <w:pPr>
        <w:pStyle w:val="Heading1"/>
      </w:pPr>
      <w:r>
        <w:t xml:space="preserve">REFERÊNCIAS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3"/>
  </w:num>
  <w:num w:numId="1007">
    <w:abstractNumId w:val="992"/>
  </w:num>
  <w:num w:numId="1008">
    <w:abstractNumId w:val="993"/>
  </w:num>
  <w:num w:numId="1009">
    <w:abstractNumId w:val="992"/>
  </w:num>
  <w:num w:numId="1010">
    <w:abstractNumId w:val="993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2025-04-12T01:50:44Z</dcterms:created>
  <dcterms:modified xsi:type="dcterms:W3CDTF">2025-04-12T01:50:44Z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