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referências)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 usabilidade, resultando frequentemente em barreiras para a plena acessibilidade e interação dos usuários com os sistemas digitais. Com o aumento da complexidade do frontend e a multiplicidade de paradigmas de interação, muitos usuários enfrentam dificuldades significativas para utilizar efetivamente as funcionalidades oferecidas pelos sistemas 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 como uma alternativa promissora para simplificar a comunicação entre humanos e máquinas, oferecendo uma camada intermediária de interação que pode traduzir comandos em linguagem natural para ações específicas no sistema.</w:t>
      </w:r>
    </w:p>
    <w:p>
      <w:pPr>
        <w:pStyle w:val="BodyText"/>
      </w:pPr>
      <w:r>
        <w:t xml:space="preserve">Estudos recentes têm demonstrado que agentes conversacionais podem aprimorar significativamente a experiência do usuário ao simplificar interações com sistemas 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 interfaces baseadas em linguagem natural tem mostrado potencial para melhorar a usabilidade em contextos domésticos e inteligentes, reduzindo o tempo e o esforço necessários para 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 vantagens consideráveis em termos de acessibilidade, permitindo uma comunicação mais 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 conversacional baseado em IA pode potencializar a interação entre usuários e sistemas, promovendo uma comunicação fluida mesmo em ambientes com interfaces complexas? Essa pergunta reflete a necessidade crescente de soluções que democratizem o acesso à tecnologia, reduzindo a curva de aprendizado necessária para a utilização de sistemas 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 IA, como o uso de transformers sem camadas de normalização, podem influenciar positivamente 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 conversacionais representam para a área de interação humano-computador. Ao implementar um sistema intermediário capaz de interpretar linguagem natural e traduzi-la em ações específicas dentro de um sistema, cria-se uma ponte que permite aos usuários interagir de forma mais intuitiva e natural com as tecnologias digitais. Esta abordagem tem o potencial de mitigar as barreiras impostas por interfaces complexas, contribuindo para uma maior inclusão digital e para a melhoria da experiência do usuário em diversos contextos de aplicação.</w:t>
      </w:r>
    </w:p>
    <w:bookmarkEnd w:id="23"/>
    <w:bookmarkStart w:id="3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 investigar e avaliar diferentes métodos de integração entre agentes conversacionais baseados em LLMs (Large Language Models) e sistemas computacionais. A pesquisa se desenvolve através de uma análise comparativa de quatro abordagens distintas de 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 integrações entre LLMs e sistemas, estabelecendo uma base teórica sólida para a análise subsequente. Em seguida, são exploradas quatro abordagens principais de integração: (1) conexão direta com banco de dados, permitindo consultas e manipulações diretas; (2) integração via plugins ORM, facilitando o acesso através de camadas de abstração existentes; (3) integração via API/Swagger, utilizando interfaces padronizadas de comunicação; e (4) integração via Model Context Protocol (MCP), explorando um 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 viabilidade técnica e permita uma avaliação objetiva de seus aspectos funcionais e não-funcionais. A avaliação seguirá critérios predefinidos, incluindo desempenho, segurança, facilidade de implementação, manutenibilidade e experiência do usuário. Os resultados serão documentados e analisados de forma sistemática, permitindo uma comparação objetiva entre as diferentes abordagens.</w:t>
      </w:r>
    </w:p>
    <w:bookmarkStart w:id="30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Para garantir a rigorosidade científica e a reprodutibilidade dos experimentos conduzidos neste estudo, é essencial uma seleção criteriosa dos materiais e ferramentas utilizados. Esta seção detalha os recursos específicos empregados na condução desta pesquisa, justificando sua escolha baseada na eficiência, popularidade, robustez e aplicabilidade prática dentro do contexto dos agentes conversacionais e integração de sistemas.</w:t>
      </w:r>
    </w:p>
    <w:bookmarkStart w:id="24" w:name="X1155c7d9e8fcb7fc4f8470f8237ad2c90301ca3"/>
    <w:p>
      <w:pPr>
        <w:pStyle w:val="Heading3"/>
      </w:pPr>
      <w:r>
        <w:t xml:space="preserve">Node.js para Desenvolvimento das Provas de Conceito</w:t>
      </w:r>
    </w:p>
    <w:p>
      <w:pPr>
        <w:pStyle w:val="FirstParagraph"/>
      </w:pPr>
      <w:r>
        <w:t xml:space="preserve">Node.js foi escolhido como plataforma principal para o desenvolvimento das provas de conceito devido à sua comprovada eficácia na integração de sistemas baseados em inteligência artificial (IA), especialmente com agentes conversacionais e Large Language Models (LLMs). A plataforma é amplamente adotada devido à sua arquitetura orientada a eventos e capacidade de gerenciar eficientemente múltiplas conexões simultâneas, essencial para aplicações que exigem respostas rápidas em tempo real</w:t>
      </w:r>
      <w:r>
        <w:t xml:space="preserve"> </w:t>
      </w:r>
      <w:r>
        <w:t xml:space="preserve">[@cherednichenko:hal-04545073]</w:t>
      </w:r>
      <w:r>
        <w:t xml:space="preserve">.</w:t>
      </w:r>
    </w:p>
    <w:p>
      <w:pPr>
        <w:pStyle w:val="BodyText"/>
      </w:pPr>
      <w:r>
        <w:t xml:space="preserve">O Hugging Face fornece bibliotecas JavaScript específicas compatíveis com Node.js, como o</w:t>
      </w:r>
      <w:r>
        <w:t xml:space="preserve"> </w:t>
      </w:r>
      <w:r>
        <w:rPr>
          <w:rStyle w:val="VerbatimChar"/>
        </w:rPr>
        <w:t xml:space="preserve">@huggingface/inference</w:t>
      </w:r>
      <w:r>
        <w:t xml:space="preserve">, permitindo acesso direto a mais de 100 mil modelos pré-treinados com suporte a TypeScript. Isso simplifica significativamente a integração com IA, destacando a robustez técnica e facilidade de adoção do Node.js em aplicações modernas</w:t>
      </w:r>
      <w:r>
        <w:t xml:space="preserve"> </w:t>
      </w:r>
      <w:r>
        <w:t xml:space="preserve">[@HuggingFace2024]</w:t>
      </w:r>
      <w:r>
        <w:t xml:space="preserve">.</w:t>
      </w:r>
    </w:p>
    <w:p>
      <w:pPr>
        <w:pStyle w:val="BodyText"/>
      </w:pPr>
      <w:r>
        <w:t xml:space="preserve">Grandes empresas também reforçam a relevância de Node.js ao disponibilizarem SDKs específicos, como o da IBM para o Watsonx, lançado em 2023. Este SDK facilita o uso direto de modelos generativos robustos da IBM em aplicações Node.js, destacando sua relevância estratégica no ambiente empresarial</w:t>
      </w:r>
      <w:r>
        <w:t xml:space="preserve"> </w:t>
      </w:r>
      <w:r>
        <w:t xml:space="preserve">[@IBM2023WatsonxSDK]</w:t>
      </w:r>
      <w:r>
        <w:t xml:space="preserve">.</w:t>
      </w:r>
    </w:p>
    <w:p>
      <w:pPr>
        <w:pStyle w:val="BodyText"/>
      </w:pPr>
      <w:r>
        <w:t xml:space="preserve">Adicionalmente, a documentação oficial do Node.js ressalta sua capacidade superior de lidar com streaming de dados através de streams e pipelines. Essa funcionalidade permite transmitir resultados incrementais de IA aos clientes com baixa latência, tornando-o ideal para chatbots e serviços em tempo real que dependem de respostas imediatas</w:t>
      </w:r>
      <w:r>
        <w:t xml:space="preserve"> </w:t>
      </w:r>
      <w:r>
        <w:t xml:space="preserve">[@Nodejs2024Docs]</w:t>
      </w:r>
      <w:r>
        <w:t xml:space="preserve">.</w:t>
      </w:r>
    </w:p>
    <w:p>
      <w:pPr>
        <w:pStyle w:val="BodyText"/>
      </w:pPr>
      <w:r>
        <w:t xml:space="preserve">Por fim, relatórios da Red Hat destacam que o uso eficiente da arquitetura assíncrona do Node.js possibilita a criação de agentes baseados em LLMs com alta performance e escalabilidade. Isso garante um gerenciamento eficiente de múltiplas operações paralelas, essencial para aplicações intensivas em IA e integração com APIs externas</w:t>
      </w:r>
      <w:r>
        <w:t xml:space="preserve"> </w:t>
      </w:r>
      <w:r>
        <w:t xml:space="preserve">[@RedHat2024LLMNode]</w:t>
      </w:r>
      <w:r>
        <w:t xml:space="preserve">.</w:t>
      </w:r>
    </w:p>
    <w:bookmarkEnd w:id="24"/>
    <w:bookmarkStart w:id="25" w:name="testes-end-to-end-e2e"/>
    <w:p>
      <w:pPr>
        <w:pStyle w:val="Heading3"/>
      </w:pPr>
      <w:r>
        <w:t xml:space="preserve">Testes End-to-End (e2e)</w:t>
      </w:r>
    </w:p>
    <w:p>
      <w:pPr>
        <w:pStyle w:val="FirstParagraph"/>
      </w:pPr>
      <w:r>
        <w:t xml:space="preserve">O Framework de Gerenciamento de Riscos de IA do NIST</w:t>
      </w:r>
      <w:r>
        <w:t xml:space="preserve"> </w:t>
      </w:r>
      <w:r>
        <w:t xml:space="preserve">[@oprea2023adversarial]</w:t>
      </w:r>
      <w:r>
        <w:t xml:space="preserve"> </w:t>
      </w:r>
      <w:r>
        <w:t xml:space="preserve">destaca a importância de avaliar o desempenho de sistemas de IA de forma abrangente, defendendo que testes de integração devem avaliar os sistemas de ponta a ponta para identificar erros de integração e garantir a precisão das respostas em cenários realistas. Testes rigorosos como esses não apenas identificam problemas de integração, mas também asseguram às partes interessadas que o sistema se comporta conforme o esperado em condições do mundo real.</w:t>
      </w:r>
    </w:p>
    <w:p>
      <w:pPr>
        <w:pStyle w:val="BodyText"/>
      </w:pPr>
      <w:r>
        <w:t xml:space="preserve">A injeção de prompt representa um risco significativo em implantações de LLMs em nosso cenário, no qual o modelo possui acesso a dados e sistemas potencialmente críticos, incluindo, ocasionalmente, conexões diretas com dados brutos de banco de dados. O guia de riscos da OWASP</w:t>
      </w:r>
      <w:r>
        <w:t xml:space="preserve"> </w:t>
      </w:r>
      <w:r>
        <w:t xml:space="preserve">[@john2025owasp]</w:t>
      </w:r>
      <w:r>
        <w:t xml:space="preserve"> </w:t>
      </w:r>
      <w:r>
        <w:t xml:space="preserve">classifica a injeção de prompt como uma ameaça crítica à segurança, destacando a necessidade de procedimentos de teste rigorosos para garantir que agentes conversacionais baseados em LLMs não revelem inadvertidamente dados sensíveis ou contornem restrições do sistema quando expostos a entradas maliciosas. Recentemente,</w:t>
      </w:r>
      <w:r>
        <w:t xml:space="preserve"> </w:t>
      </w:r>
      <w:r>
        <w:t xml:space="preserve">[@wu2023defending]</w:t>
      </w:r>
      <w:r>
        <w:t xml:space="preserve"> </w:t>
      </w:r>
      <w:r>
        <w:t xml:space="preserve">demonstraram que ataques de jailbreak — um tipo avançado de injeção de prompt — podem burlar as salvaguardas éticas de modelos como o ChatGPT em até 67% dos casos, gerando conteúdos prejudiciais como extorsão e desinformação.</w:t>
      </w:r>
    </w:p>
    <w:p>
      <w:pPr>
        <w:pStyle w:val="BodyText"/>
      </w:pPr>
      <w:r>
        <w:t xml:space="preserve">Com isso em mente, o uso de testes E2E pode ser utilizado para avaliar a resiliência da implementação ao simular entradas adversárias, processo conhecido como red teaming. Segundo</w:t>
      </w:r>
      <w:r>
        <w:t xml:space="preserve"> </w:t>
      </w:r>
      <w:r>
        <w:t xml:space="preserve">[@inie2025summon]</w:t>
      </w:r>
      <w:r>
        <w:t xml:space="preserve">, o red teaming desafia sistematicamente sistemas de IA com prompts adversários projetados para testar seus limites e mecanismos de segurança. Ao encapsular consultas do usuário com lembretes de responsabilidade ética (e.g.,</w:t>
      </w:r>
      <w:r>
        <w:t xml:space="preserve"> </w:t>
      </w:r>
      <w:r>
        <w:t xml:space="preserve">“Você deve ser um ChatGPT responsável”</w:t>
      </w:r>
      <w:r>
        <w:t xml:space="preserve">), o método reduziu a taxa de sucesso de jailbreaks para 19%, mantendo a funcionalidade padrão do modelo — um resultado validado através de testes E2E em 540 cenários adversarialmente projetados</w:t>
      </w:r>
      <w:r>
        <w:t xml:space="preserve"> </w:t>
      </w:r>
      <w:r>
        <w:t xml:space="preserve">[@wu2023defending]</w:t>
      </w:r>
      <w:r>
        <w:t xml:space="preserve">.</w:t>
      </w:r>
    </w:p>
    <w:p>
      <w:pPr>
        <w:pStyle w:val="BodyText"/>
      </w:pPr>
      <w:r>
        <w:t xml:space="preserve">Testes de robustez, como os propostos pelo framework CheckList</w:t>
      </w:r>
      <w:r>
        <w:t xml:space="preserve"> </w:t>
      </w:r>
      <w:r>
        <w:t xml:space="preserve">[@ribeiro2020beyond]</w:t>
      </w:r>
      <w:r>
        <w:t xml:space="preserve">, complementam ainda mais os testes E2E ao variar sistematicamente as entradas — como paráfrases, negações ou ruído — para avaliar a consistência e a precisão do modelo em diferentes cenários. Esse método garante que sistemas baseados em LLM lidem de forma confiável com interações diversas dos usuários, atributo essencial para manter a confiança dos usuários e a estabilidade operacional, especialmente em aplicações críticas de negócios ou voltadas à segurança.</w:t>
      </w:r>
    </w:p>
    <w:bookmarkEnd w:id="25"/>
    <w:bookmarkStart w:id="26" w:name="X5894334ccf94b43724f17f3e7e1f3353611dc5c"/>
    <w:p>
      <w:pPr>
        <w:pStyle w:val="Heading3"/>
      </w:pPr>
      <w:r>
        <w:t xml:space="preserve">Modelos de Linguagem de Grande Escala (LLMs)</w:t>
      </w:r>
    </w:p>
    <w:p>
      <w:pPr>
        <w:pStyle w:val="FirstParagraph"/>
      </w:pPr>
      <w:r>
        <w:t xml:space="preserve">Os modelos de linguagem (LLMs), incluindo tecnologias como OpenAI GPT, Anthropic e modelos disponibilizados pela Google, são essenciais neste estudo devido à sua capacidade de interpretar e gerar linguagem natural de forma avançada e eficaz. Estes modelos foram selecionados por sua performance comprovada e ampla adoção em pesquisas acadêmicas e no mercado corporativo, proporcionando um sólido embasamento para as funcionalidades de interação do agente conversacional.</w:t>
      </w:r>
    </w:p>
    <w:bookmarkEnd w:id="26"/>
    <w:bookmarkStart w:id="27" w:name="ferramentas-específicas-de-integração"/>
    <w:p>
      <w:pPr>
        <w:pStyle w:val="Heading3"/>
      </w:pPr>
      <w:r>
        <w:t xml:space="preserve">Ferramentas Específicas de Integração</w:t>
      </w:r>
    </w:p>
    <w:p>
      <w:pPr>
        <w:pStyle w:val="FirstParagraph"/>
      </w:pPr>
      <w:r>
        <w:t xml:space="preserve">A pesquisa investigou quatro abordagens distintas para a integração dos agentes conversacionais com sistemas computacionais, utilizando ferramentas específicas para cada uma: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PostgreSQL para Conexão Direta com Banco de Dados:</w:t>
      </w:r>
      <w:r>
        <w:t xml:space="preserve"> </w:t>
      </w:r>
      <w:r>
        <w:t xml:space="preserve">Selecionado por sua robustez, estabilidade e desempenho em ambientes produtivos, o PostgreSQL permite consultas diretas aos dados brutos, oferecendo uma abordagem direta e eficiente.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Sequelize para Integração via ORM:</w:t>
      </w:r>
      <w:r>
        <w:t xml:space="preserve"> </w:t>
      </w:r>
      <w:r>
        <w:t xml:space="preserve">Este ORM proporciona uma camada adicional de segurança e abstração, facilitando a manutenção e a adaptação da integração ao esquema de dados existente, reduzindo complexidade técnica e aumentando a eficiência operacional.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OpenAPI para Integração via API/Swagger:</w:t>
      </w:r>
      <w:r>
        <w:t xml:space="preserve"> </w:t>
      </w:r>
      <w:r>
        <w:t xml:space="preserve">A utilização da especificação OpenAPI oferece uma interface padronizada e consistente para comunicação com serviços existentes através de APIs, garantindo interoperabilidade e simplificando o desenvolvimento.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Model Context Protocol (MCP):</w:t>
      </w:r>
      <w:r>
        <w:t xml:space="preserve"> </w:t>
      </w:r>
      <w:r>
        <w:t xml:space="preserve">Este protocolo emergente foi explorado devido à sua flexibilidade e capacidade de fornecer uma estrutura padronizada para interação com ferramentas, essencial para futuras expansões e integrações com sistemas dinâmicos e complexos.</w:t>
      </w:r>
    </w:p>
    <w:bookmarkEnd w:id="27"/>
    <w:bookmarkStart w:id="28" w:name="X45fc51e4bf6cff63df6a72432e280f8d2c34db1"/>
    <w:p>
      <w:pPr>
        <w:pStyle w:val="Heading3"/>
      </w:pPr>
      <w:r>
        <w:t xml:space="preserve">Importância e Relevância dos Materiais Escolhidos</w:t>
      </w:r>
    </w:p>
    <w:p>
      <w:pPr>
        <w:pStyle w:val="FirstParagraph"/>
      </w:pPr>
      <w:r>
        <w:t xml:space="preserve">Os materiais escolhidos destacam-se não apenas pela capacidade técnica individual, mas também pela complementaridade entre si. Essa abordagem assegura que a pesquisa seja abrangente e represente adequadamente os desafios e soluções reais enfrentados na integração de agentes conversacionais avançados em sistemas complexos.</w:t>
      </w:r>
    </w:p>
    <w:bookmarkEnd w:id="28"/>
    <w:bookmarkStart w:id="29" w:name="conclusão-da-seleção-dos-materiais"/>
    <w:p>
      <w:pPr>
        <w:pStyle w:val="Heading3"/>
      </w:pPr>
      <w:r>
        <w:t xml:space="preserve">Conclusão da Seleção dos Materiais</w:t>
      </w:r>
    </w:p>
    <w:p>
      <w:pPr>
        <w:pStyle w:val="FirstParagraph"/>
      </w:pPr>
      <w:r>
        <w:t xml:space="preserve">A seleção estratégica dos materiais e ferramentas utilizados neste estudo não somente garante a qualidade científica e técnica dos experimentos, mas também promove avanços significativos na interação entre usuários e sistemas. Ao incorporar tecnologias reconhecidas pela comunidade científica e pelo mercado, este estudo busca contribuir ativamente para o desenvolvimento de soluções mais eficazes e acessíveis, impactando positivamente a experiência do usuário em diversas aplicações práticas.</w:t>
      </w:r>
    </w:p>
    <w:bookmarkEnd w:id="29"/>
    <w:bookmarkEnd w:id="30"/>
    <w:bookmarkStart w:id="31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bookmarkEnd w:id="31"/>
    <w:bookmarkEnd w:id="32"/>
    <w:bookmarkStart w:id="33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3"/>
    <w:bookmarkStart w:id="34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4"/>
    <w:bookmarkStart w:id="35" w:name="referências"/>
    <w:p>
      <w:pPr>
        <w:pStyle w:val="Heading1"/>
      </w:pPr>
      <w:r>
        <w:t xml:space="preserve">REFERÊNCIAS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2025-04-12T03:14:53Z</dcterms:created>
  <dcterms:modified xsi:type="dcterms:W3CDTF">2025-04-12T03:14:53Z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