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inteligência artificial a soluções web através da especificação OpenAPI combinada com o protocolo Model Context Protocol (MCP). A pesquisa investiga inicialmente como especificações OpenAPI podem ser automaticamente convertidas em servidores MCP, permitindo que modelos de linguagem de grande escala (LLMs) interajam de forma padronizada e segura com sistemas externos.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Foram aplicados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bookmarkEnd w:id="22"/>
    <w:bookmarkStart w:id="60"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avaliar objetivamente aspectos funcionais e não-funcionais da solução proposta dentro de um escopo experimental controlado.</w:t>
      </w:r>
    </w:p>
    <w:p>
      <w:pPr>
        <w:pStyle w:val="BodyText"/>
      </w:pPr>
      <w:r>
        <w:t xml:space="preserve">É importante ressaltar que esta investigação constitui uma validação inicial da abordagem proposta, com o objetivo de demonstrar a possibilidade de grandes avanços na integração entre sistemas existentes e LLMs, utilizando OpenAPI-MCP como uma solução promissora. As limitações inerentes ao escopo de uma prova de conceito, incluindo o número restrito de sistemas testados e a profundidade limitada dos cenários avaliados, são reconhecidas como adequadas para o propósito de estabelecer evidências preliminares de viabilidade técnica.</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robustez, popularidade acadêmica e aplicabilidade prática para desenvolvimento da prova de conceito.</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(BLOG, 2024; CHEREDNICHENKO et al.,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 Para avaliação de segurança, foram implementadas técnicas de</w:t>
      </w:r>
      <w:r>
        <w:t xml:space="preserve"> </w:t>
      </w:r>
      <w:r>
        <w:rPr>
          <w:i/>
          <w:iCs/>
        </w:rPr>
        <w:t xml:space="preserve">red teaming</w:t>
      </w:r>
      <w:r>
        <w:t xml:space="preserve"> </w:t>
      </w:r>
      <w:r>
        <w:t xml:space="preserve">- testes adversários sistemáticos que simulam ataques de injeção de</w:t>
      </w:r>
      <w:r>
        <w:t xml:space="preserve"> </w:t>
      </w:r>
      <w:r>
        <w:rPr>
          <w:i/>
          <w:iCs/>
        </w:rPr>
        <w:t xml:space="preserve">prompts</w:t>
      </w:r>
      <w:r>
        <w:t xml:space="preserve"> </w:t>
      </w:r>
      <w:r>
        <w:t xml:space="preserve">e tentativas de</w:t>
      </w:r>
      <w:r>
        <w:t xml:space="preserve"> </w:t>
      </w:r>
      <w:r>
        <w:rPr>
          <w:i/>
          <w:iCs/>
        </w:rPr>
        <w:t xml:space="preserve">jailbreak</w:t>
      </w:r>
      <w:r>
        <w:t xml:space="preserve">. 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w:t>
      </w:r>
      <w:r>
        <w:t xml:space="preserve">orientaram a definição dos cenários de teste, considerando que injeções de</w:t>
      </w:r>
      <w:r>
        <w:t xml:space="preserve"> </w:t>
      </w:r>
      <w:r>
        <w:rPr>
          <w:i/>
          <w:iCs/>
        </w:rPr>
        <w:t xml:space="preserve">prompt</w:t>
      </w:r>
      <w:r>
        <w:t xml:space="preserve"> </w:t>
      </w:r>
      <w:r>
        <w:t xml:space="preserve">representam ameaças críticas em sistemas LLM com acesso a dados sensíveis.</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3"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 Sem este controle experimental, seria impossível determinar se melhorias na usabilidade decorrem da abordagem proposta ou de fatores externos relacionados ao design da interface.</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do Usuário"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do Usuário</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1"/>
    <w:bookmarkStart w:id="42" w:name="Xa67500c122b41fe1ad7e20bad97ae2988a308c8"/>
    <w:p>
      <w:pPr>
        <w:pStyle w:val="Ttulo3"/>
      </w:pPr>
      <w:r>
        <w:t xml:space="preserve">2.2.5 Metodologia de Testes Automatizados</w:t>
      </w:r>
      <w:r>
        <w:t xml:space="preserve"> </w:t>
      </w:r>
      <w:r>
        <w:rPr>
          <w:i/>
          <w:iCs/>
        </w:rPr>
        <w:t xml:space="preserve">End-to-End</w:t>
      </w:r>
    </w:p>
    <w:p>
      <w:pPr>
        <w:pStyle w:val="FirstParagraph"/>
      </w:pPr>
      <w:r>
        <w:t xml:space="preserve">A instrumentação e coleta de dados foram implementadas através de um conjunto integrado de ferramentas especializadas para garantir precisão e abrangência na captura de métricas. O Playwright Test Framework foi configurado para capturar métricas de performance via Performance API, proporcionando medições precisas de latência e throughput em condições reais de uso.</w:t>
      </w:r>
    </w:p>
    <w:p>
      <w:pPr>
        <w:pStyle w:val="BodyText"/>
      </w:pPr>
      <w:r>
        <w:t xml:space="preserve">Esta metodologia de testes automatizados pretende garantir que os dados sejam resultado direto das características de implementação, e não de variações na experiência do usuário ou na forma de coleta de dados. A instrumentação detalhada permite análise reproduzível e comparação objetiva entre diferentes estratégias de integração, estabelecendo uma base empírica sólida para as conclusões científicas da pesquisa.</w:t>
      </w:r>
    </w:p>
    <w:bookmarkEnd w:id="42"/>
    <w:bookmarkEnd w:id="43"/>
    <w:bookmarkStart w:id="52"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6"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Start w:id="44" w:name="X3a32080c6e581ee0a7ca5fa32b6d306ee26b8f4"/>
    <w:p>
      <w:pPr>
        <w:pStyle w:val="Ttulo4"/>
      </w:pPr>
      <w:r>
        <w:t xml:space="preserve">3.1.1 Gerador Automático de Servidores MCP: Abordagem Metodológica</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p>
      <w:pPr>
        <w:pStyle w:val="BodyText"/>
      </w:pPr>
      <w:r>
        <w:t xml:space="preserve">A arquitetura metodológica foi estruturada em três camadas funcionais para garantir separação de responsabilidades e facilitar a validação experimental: a camada de análise sintática (</w:t>
      </w:r>
      <w:r>
        <w:rPr>
          <w:i/>
          <w:iCs/>
        </w:rPr>
        <w:t xml:space="preserve">parsing</w:t>
      </w:r>
      <w:r>
        <w:t xml:space="preserve">) de especificações OpenAPI 3.0+, responsável pela extração e validação de metadados de endpoints; a camada de mapeamento semântico MCP, que realiza a conversão inteligente de operações OpenAPI para ferramentas compreensíveis pelos modelos de linguagem; e a camada de geração de código, que produz servidores MCP funcionais em TypeScript com validação robusta de entrada e tratamento de erros.</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bookmarkEnd w:id="44"/>
    <w:bookmarkStart w:id="45" w:name="X83bed6f5722dfe90cade667410fdeb4200bbfae"/>
    <w:p>
      <w:pPr>
        <w:pStyle w:val="Ttulo4"/>
      </w:pPr>
      <w:r>
        <w:t xml:space="preserve">3.1.2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w:t>
      </w:r>
      <w:r>
        <w:t xml:space="preserve"> </w:t>
      </w:r>
      <w:r>
        <w:t xml:space="preserve">(ANTHROPIC, 2024)</w:t>
      </w:r>
      <w:r>
        <w:t xml:space="preserve">. A complexidade emerge da necessidade de manter conexões ativas, descobrir dinamicamente capacidades disponíveis e rotear solicitações baseadas na análise semântica da intenção do usuário, tudo isso preservando a experiência conversacional natural.</w:t>
      </w:r>
    </w:p>
    <w:p>
      <w:pPr>
        <w:pStyle w:val="BodyText"/>
      </w:pPr>
      <w:r>
        <w:t xml:space="preserve">A solução metodológica adotada implementa um sistema de coordenação baseado em</w:t>
      </w:r>
      <w:r>
        <w:t xml:space="preserve"> </w:t>
      </w:r>
      <w:r>
        <w:rPr>
          <w:i/>
          <w:iCs/>
        </w:rPr>
        <w:t xml:space="preserve">pool</w:t>
      </w:r>
      <w:r>
        <w:t xml:space="preserve"> </w:t>
      </w:r>
      <w:r>
        <w:t xml:space="preserve">de conexões com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Esta abordagem atende ao segundo objetivo específico da pesquisa -</w:t>
      </w:r>
      <w:r>
        <w:t xml:space="preserve"> </w:t>
      </w:r>
      <w:r>
        <w:rPr>
          <w:i/>
          <w:iCs/>
        </w:rPr>
        <w:t xml:space="preserve">implementar um cliente capaz de gerenciar múltiplos servidores MCP</w:t>
      </w:r>
      <w:r>
        <w:t xml:space="preserve"> </w:t>
      </w:r>
      <w:r>
        <w:t xml:space="preserve">- estabelecendo uma metodologia de orquestração que pode ser sistematicamente testada e validada através de cenários controlados de uso.</w:t>
      </w:r>
    </w:p>
    <w:bookmarkEnd w:id="45"/>
    <w:bookmarkEnd w:id="46"/>
    <w:bookmarkStart w:id="47" w:name="fundamentação-tecnológica-e-metodológica"/>
    <w:p>
      <w:pPr>
        <w:pStyle w:val="Ttulo3"/>
      </w:pPr>
      <w:r>
        <w:t xml:space="preserve">3.2 Fundamentação Tecnológica e Metodológica</w:t>
      </w:r>
    </w:p>
    <w:p>
      <w:pPr>
        <w:pStyle w:val="FirstParagraph"/>
      </w:pPr>
      <w:r>
        <w:t xml:space="preserve">As decisões tecnológicas para implementação da prova de conceito foram fundamentadas em critérios de rigor científico, reprodutibilidade e adequação aos objetivos de pesquisa, conforme detalhado na seção de MATERIAIS. A seleção do Node.js como plataforma de desenvolvimento, do Playwright para testes automatizados</w:t>
      </w:r>
      <w:r>
        <w:t xml:space="preserve"> </w:t>
      </w:r>
      <w:r>
        <w:rPr>
          <w:i/>
          <w:iCs/>
        </w:rPr>
        <w:t xml:space="preserve">end-to-end</w:t>
      </w:r>
      <w:r>
        <w:t xml:space="preserve"> </w:t>
      </w:r>
      <w:r>
        <w:t xml:space="preserve">e do OpenAI GPT-4 para integração com modelos de linguagem baseou-se em sua comprovada capacidade para suportar a metodologia experimental proposta, permitindo validação objetiva da viabilidade da integração OpenAPI-MCP através de uma prova de conceito robusta e reproduzível.</w:t>
      </w:r>
    </w:p>
    <w:bookmarkEnd w:id="47"/>
    <w:bookmarkStart w:id="48" w:name="Xcb3e1bda33270a61e33f8225f703da115ad2a1a"/>
    <w:p>
      <w:pPr>
        <w:pStyle w:val="Ttulo3"/>
      </w:pPr>
      <w:r>
        <w:t xml:space="preserve">3.3 Gerador Automático de Servidores MCP (mcp-openapi-server)</w:t>
      </w:r>
    </w:p>
    <w:p>
      <w:pPr>
        <w:pStyle w:val="FirstParagraph"/>
      </w:pPr>
      <w:r>
        <w:t xml:space="preserve">O gerador automático de servidores MCP representa a materialização metodológica do primeiro objetivo específico da pesquisa, constituindo a ferramenta central para validação da hipótese de que especificações OpenAPI podem ser sistematicamente convertidas em interfaces utilizáveis por agentes conversacionais. A abordagem metodológica adotada fundamenta-se na premissa de que a automação da geração de servidores elimina a variabilidade humana no processo de integração, permitindo avaliação objetiva da eficácia da conversão OpenAPI-MCP.</w:t>
      </w:r>
    </w:p>
    <w:p>
      <w:pPr>
        <w:pStyle w:val="BodyText"/>
      </w:pPr>
      <w:r>
        <w:t xml:space="preserve">A estrutura metodológica implementada segue um processo sistemático de três etapas interdependentes. A primeira etapa realiza análise sintática (</w:t>
      </w:r>
      <w:r>
        <w:rPr>
          <w:i/>
          <w:iCs/>
        </w:rPr>
        <w:t xml:space="preserve">parsing</w:t>
      </w:r>
      <w:r>
        <w:t xml:space="preserve">) e validação rigorosa de especificações OpenAPI 3.0+, garantindo conformidade com padrões estabelecidos e extração precisa de metadados essenciais. A segunda etapa executa mapeamento semântico entre contratos OpenAPI e ferramentas MCP, preservando a integridade semântica das operações originais e adaptando-as para compreensão por modelos de linguagem. A terceira etapa concretiza a geração de código TypeScript funcional, produzindo servidores MCP operacionais com tratamento robusto de erros e validação automática de entrada.</w:t>
      </w:r>
    </w:p>
    <w:p>
      <w:pPr>
        <w:pStyle w:val="BodyText"/>
      </w:pPr>
      <w:r>
        <w:t xml:space="preserve">Esta metodologia de geração automática permite validação experimental controlada, onde cada especificação OpenAPI processada constitui um caso de teste independente para avaliação da eficácia da conversão. O suporte implementado para múltiplos esquemas de autenticação (API Key, Bearer Token, OAuth) e todos os métodos HTTP fundamentais (GET, POST, PUT, DELETE, PATCH) garante cobertura abrangente dos cenários de integração típicos encontrados em ambientes corporativos reais, essencial para validação da aplicabilidade prática da abordagem proposta.</w:t>
      </w:r>
    </w:p>
    <w:bookmarkEnd w:id="48"/>
    <w:bookmarkStart w:id="49" w:name="cliente-de-chat-multi-servidor-mcp"/>
    <w:p>
      <w:pPr>
        <w:pStyle w:val="Ttulo3"/>
      </w:pPr>
      <w:r>
        <w:t xml:space="preserve">3.4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estratégia de coordenação multi-servidor implementa três mecanismos metodológicos fundamentais para validação experimental. O</w:t>
      </w:r>
      <w:r>
        <w:t xml:space="preserve"> </w:t>
      </w:r>
      <w:r>
        <w:rPr>
          <w:i/>
          <w:iCs/>
        </w:rPr>
        <w:t xml:space="preserve">pool</w:t>
      </w:r>
      <w:r>
        <w:t xml:space="preserve"> </w:t>
      </w:r>
      <w:r>
        <w:t xml:space="preserve">de conexões ativas mantém estado consistente com todos os servidores MCP configurados, permitindo medição precisa de latências e disponibilidade.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9"/>
    <w:bookmarkStart w:id="50" w:name="Xbb435199f1dc8df43cca2f996488fa3e291c9b7"/>
    <w:p>
      <w:pPr>
        <w:pStyle w:val="Ttulo3"/>
      </w:pPr>
      <w:r>
        <w:t xml:space="preserve">3.5 Estratégia de Validação Experimental através de Aplicações de Teste</w:t>
      </w:r>
    </w:p>
    <w:p>
      <w:pPr>
        <w:pStyle w:val="FirstParagraph"/>
      </w:pPr>
      <w:r>
        <w:t xml:space="preserve">Para garantir rigor científico na validação da abordagem proposta, foram desenvolvidas aplicações de teste que simulam cenários empresariais realistas, atendendo ao terceiro objetivo específico da pesquisa -</w:t>
      </w:r>
      <w:r>
        <w:t xml:space="preserve"> </w:t>
      </w:r>
      <w:r>
        <w:rPr>
          <w:i/>
          <w:iCs/>
        </w:rPr>
        <w:t xml:space="preserve">avaliar a solução através de testes sistemáticos</w:t>
      </w:r>
      <w:r>
        <w:t xml:space="preserve">. A estratégia metodológica fundamenta-se na utilização de domínios de negócio distintos - gerenciamento de equipamentos industriais e gestão de recursos humanos - para demonstrar a versatilidade e aplicabilidade geral da integração OpenAPI-MCP em contextos heterogêneos.</w:t>
      </w:r>
    </w:p>
    <w:p>
      <w:pPr>
        <w:pStyle w:val="BodyText"/>
      </w:pPr>
      <w:r>
        <w:t xml:space="preserve">A escolha metodológica por aplicações que exponham APIs RESTful completamente documentadas com especificações OpenAPI permite criar um ambiente controlado onde variáveis experimentais podem ser sistematicamente manipuladas e resultados objetivamente mensurados. Esta abordagem experimental garante que a validação ocorra em condições que refletem fielmente as complexidades encontradas em ambientes corporativos reais, sem comprometer a reprodutibilidade e controle necessários para avaliação científica rigorosa.</w:t>
      </w:r>
    </w:p>
    <w:bookmarkEnd w:id="50"/>
    <w:bookmarkStart w:id="51" w:name="metodologia-de-validação-automatizada"/>
    <w:p>
      <w:pPr>
        <w:pStyle w:val="Ttulo3"/>
      </w:pPr>
      <w:r>
        <w:t xml:space="preserve">3.6 Metodologia de Validação Automatizada</w:t>
      </w:r>
    </w:p>
    <w:p>
      <w:pPr>
        <w:pStyle w:val="FirstParagraph"/>
      </w:pPr>
      <w:r>
        <w:t xml:space="preserve">A validação científica da solução implementa uma metodologia de testes automatizados estruturada para abordar múltiplas dimensões críticas da pesquisa: funcionalidade, segurança e usabilidade.</w:t>
      </w:r>
    </w:p>
    <w:p>
      <w:pPr>
        <w:pStyle w:val="BodyText"/>
      </w:pPr>
      <w:r>
        <w:t xml:space="preserve">A abordagem de validação automatizada garante reprodutibilidade dos experimentos e elimina variabilidade humana na coleta de dados, elementos essenciais para estabelecer a validade científica dos resultados obtidos. Esta metodologia permite que pesquisadores futuros repliquem os experimentos sob condições idênticas, contribuindo para o avanço cumulativo do conhecimento na área de integração de agentes conversacionais em sistemas empresariais complexos.</w:t>
      </w:r>
    </w:p>
    <w:bookmarkEnd w:id="51"/>
    <w:bookmarkEnd w:id="52"/>
    <w:bookmarkStart w:id="53"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prova de conceito desenvolvida oferecem evidências mensuráveis sobre a integração de agentes conversacionais em sistemas web, estabelecendo uma base empírica sólida para avaliação da solução.</w:t>
      </w:r>
    </w:p>
    <w:bookmarkEnd w:id="53"/>
    <w:bookmarkStart w:id="54" w:name="métricas-de-performance"/>
    <w:p>
      <w:pPr>
        <w:pStyle w:val="Ttulo2"/>
      </w:pPr>
      <w:r>
        <w:t xml:space="preserve">4.1 Métricas de Performance</w:t>
      </w:r>
    </w:p>
    <w:p>
      <w:pPr>
        <w:pStyle w:val="FirstParagraph"/>
      </w:pPr>
      <w:r>
        <w:t xml:space="preserve">A Tabela 1 apresenta as métricas de performance obtidas durante os testes automatizados da prova de conceito, demonstrando indicadores iniciais de viabilidade operacional do sistema OpenAPI-MCP em condições controladas.</w:t>
      </w:r>
    </w:p>
    <w:p>
      <w:pPr>
        <w:pStyle w:val="BodyText"/>
      </w:pPr>
      <w:r>
        <w:rPr>
          <w:b/>
          <w:bCs/>
        </w:rPr>
        <w:t xml:space="preserve">Tabela 1: Métricas de Performance - Prova de Conceito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54"/>
    <w:bookmarkStart w:id="55" w:name="X54732364a652270fb5f3240d4e030df4dea108d"/>
    <w:p>
      <w:pPr>
        <w:pStyle w:val="Ttulo2"/>
      </w:pPr>
      <w:r>
        <w:t xml:space="preserve">4.2 Eficácia da Geração Automática de Servidores MCP</w:t>
      </w:r>
    </w:p>
    <w:p>
      <w:pPr>
        <w:pStyle w:val="FirstParagraph"/>
      </w:pPr>
      <w:r>
        <w:t xml:space="preserve">A Tabela 2 demonstra a capacidade do sistema de converter especificações OpenAPI em servidores MCP funcionais, validando o núcleo tecnológico da abordagem proposta.</w:t>
      </w:r>
    </w:p>
    <w:p>
      <w:pPr>
        <w:pStyle w:val="BodyText"/>
      </w:pPr>
      <w:r>
        <w:rPr>
          <w:b/>
          <w:bCs/>
        </w:rPr>
        <w:t xml:space="preserve">Tabela 2: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avaliação-de-experiência-do-usuário"/>
    <w:p>
      <w:pPr>
        <w:pStyle w:val="Ttulo2"/>
      </w:pPr>
      <w:r>
        <w:t xml:space="preserve">4.3 Avaliação de Experiência do Usuário</w:t>
      </w:r>
    </w:p>
    <w:p>
      <w:pPr>
        <w:pStyle w:val="FirstParagraph"/>
      </w:pPr>
      <w:r>
        <w:t xml:space="preserve">A Tabela 3 apresenta os resultados quantitativos da avaliação de experiência do usuário, obtidos através de 13 cenários de teste estruturados com métricas padronizadas.</w:t>
      </w:r>
    </w:p>
    <w:p>
      <w:pPr>
        <w:pStyle w:val="BodyText"/>
      </w:pPr>
      <w:r>
        <w:rPr>
          <w:b/>
          <w:bCs/>
        </w:rPr>
        <w:t xml:space="preserve">Tabela 3: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6"/>
    <w:bookmarkStart w:id="57" w:name="análise-de-segurança"/>
    <w:p>
      <w:pPr>
        <w:pStyle w:val="Ttulo2"/>
      </w:pPr>
      <w:r>
        <w:t xml:space="preserve">4.4 Análise de Segurança</w:t>
      </w:r>
    </w:p>
    <w:p>
      <w:pPr>
        <w:pStyle w:val="FirstParagraph"/>
      </w:pPr>
      <w:r>
        <w:t xml:space="preserve">A Tabela 4 apresenta os resultados dos testes de segurança adversários, conduzidos através de 16 cenários de ataque estruturados em 4 categorias principais.</w:t>
      </w:r>
    </w:p>
    <w:p>
      <w:pPr>
        <w:pStyle w:val="BodyText"/>
      </w:pPr>
      <w:r>
        <w:rPr>
          <w:b/>
          <w:bCs/>
        </w:rPr>
        <w:t xml:space="preserve">Tabela 4: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entradas maliciosas dentro do escopo experimental testado.</w:t>
      </w:r>
    </w:p>
    <w:p>
      <w:pPr>
        <w:pStyle w:val="BodyText"/>
      </w:pPr>
      <w:r>
        <w:t xml:space="preserve">É importante destacar que os testes realizados abrangeram exclusivamente ataques básicos e cenários de segurança fundamentais, não incluindo ameaças avançadas, ataques persistentes sofisticados ou cenários de engenharia social complexos. Esta limitação na cobertura dos testes de segurança implica que implementações em ambientes de produção críticos requerem avaliação de segurança mais abrangente e rigorosa para garantir proteção adequada contra vetores de ataque mais elaborados.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57"/>
    <w:bookmarkStart w:id="58" w:name="funcionalidade-do-sistema-multi-servidor"/>
    <w:p>
      <w:pPr>
        <w:pStyle w:val="Ttulo2"/>
      </w:pPr>
      <w:r>
        <w:t xml:space="preserve">4.5 Funcionalidade do Sistema Multi-Servidor</w:t>
      </w:r>
    </w:p>
    <w:p>
      <w:pPr>
        <w:pStyle w:val="FirstParagraph"/>
      </w:pPr>
      <w:r>
        <w:t xml:space="preserve">A Tabela 5 apresenta os resultados da coordenação multi-servidor durante os testes experimentais, validando a capacidade de orquestração distribuída da solução.</w:t>
      </w:r>
    </w:p>
    <w:p>
      <w:pPr>
        <w:pStyle w:val="BodyText"/>
      </w:pPr>
      <w:r>
        <w:rPr>
          <w:b/>
          <w:bCs/>
        </w:rPr>
        <w:t xml:space="preserve">Tabela 5: Resultados da Coordenação Multi-Servidor</w:t>
      </w:r>
    </w:p>
    <w:tbl>
      <w:tblPr>
        <w:tblStyle w:val="Table"/>
        <w:tblW w:type="pct" w:w="5000"/>
        <w:tblLayout w:type="fixed"/>
        <w:tblLook w:firstRow="1" w:lastRow="0" w:firstColumn="0" w:lastColumn="0" w:noHBand="0" w:noVBand="0" w:val="0020"/>
      </w:tblPr>
      <w:tblGrid>
        <w:gridCol w:w="2288"/>
        <w:gridCol w:w="1672"/>
        <w:gridCol w:w="1056"/>
        <w:gridCol w:w="2904"/>
      </w:tblGrid>
      <w:tr>
        <w:trPr>
          <w:tblHeader w:val="on"/>
        </w:trPr>
        <w:tc>
          <w:tcPr/>
          <w:p>
            <w:pPr>
              <w:pStyle w:val="Compact"/>
            </w:pPr>
            <w:r>
              <w:t xml:space="preserve">Funcionalidade</w:t>
            </w:r>
          </w:p>
        </w:tc>
        <w:tc>
          <w:tcPr/>
          <w:p>
            <w:pPr>
              <w:pStyle w:val="Compact"/>
            </w:pPr>
            <w:r>
              <w:t xml:space="preserve">Resultado Alcançado</w:t>
            </w:r>
          </w:p>
        </w:tc>
        <w:tc>
          <w:tcPr/>
          <w:p>
            <w:pPr>
              <w:pStyle w:val="Compact"/>
            </w:pPr>
            <w:r>
              <w:t xml:space="preserve">Eficácia (%)</w:t>
            </w:r>
          </w:p>
        </w:tc>
        <w:tc>
          <w:tcPr/>
          <w:p>
            <w:pPr>
              <w:pStyle w:val="Compact"/>
            </w:pPr>
            <w:r>
              <w:t xml:space="preserve">Observações</w:t>
            </w:r>
          </w:p>
        </w:tc>
      </w:tr>
      <w:tr>
        <w:tc>
          <w:tcPr/>
          <w:p>
            <w:pPr>
              <w:pStyle w:val="Compact"/>
            </w:pPr>
            <w:r>
              <w:t xml:space="preserve">Servidores MCP Simultâneos</w:t>
            </w:r>
          </w:p>
        </w:tc>
        <w:tc>
          <w:tcPr/>
          <w:p>
            <w:pPr>
              <w:pStyle w:val="Compact"/>
            </w:pPr>
            <w:r>
              <w:t xml:space="preserve">2</w:t>
            </w:r>
          </w:p>
        </w:tc>
        <w:tc>
          <w:tcPr/>
          <w:p>
            <w:pPr>
              <w:pStyle w:val="Compact"/>
            </w:pPr>
            <w:r>
              <w:t xml:space="preserve">100</w:t>
            </w:r>
          </w:p>
        </w:tc>
        <w:tc>
          <w:tcPr/>
          <w:p>
            <w:pPr>
              <w:pStyle w:val="Compact"/>
            </w:pPr>
            <w:r>
              <w:t xml:space="preserve">Equipamentos + Profissionais</w:t>
            </w:r>
          </w:p>
        </w:tc>
      </w:tr>
      <w:tr>
        <w:tc>
          <w:tcPr/>
          <w:p>
            <w:pPr>
              <w:pStyle w:val="Compact"/>
            </w:pPr>
            <w:r>
              <w:t xml:space="preserve">Ferramentas Descobertas</w:t>
            </w:r>
          </w:p>
        </w:tc>
        <w:tc>
          <w:tcPr/>
          <w:p>
            <w:pPr>
              <w:pStyle w:val="Compact"/>
            </w:pPr>
            <w:r>
              <w:t xml:space="preserve">10</w:t>
            </w:r>
          </w:p>
        </w:tc>
        <w:tc>
          <w:tcPr/>
          <w:p>
            <w:pPr>
              <w:pStyle w:val="Compact"/>
            </w:pPr>
            <w:r>
              <w:t xml:space="preserve">100</w:t>
            </w:r>
          </w:p>
        </w:tc>
        <w:tc>
          <w:tcPr/>
          <w:p>
            <w:pPr>
              <w:pStyle w:val="Compact"/>
            </w:pPr>
            <w:r>
              <w:t xml:space="preserve">Detecção automática completa</w:t>
            </w:r>
          </w:p>
        </w:tc>
      </w:tr>
      <w:tr>
        <w:tc>
          <w:tcPr/>
          <w:p>
            <w:pPr>
              <w:pStyle w:val="Compact"/>
            </w:pPr>
            <w:r>
              <w:t xml:space="preserve">Roteamento Inteligente</w:t>
            </w:r>
          </w:p>
        </w:tc>
        <w:tc>
          <w:tcPr/>
          <w:p>
            <w:pPr>
              <w:pStyle w:val="Compact"/>
            </w:pPr>
            <w:r>
              <w:t xml:space="preserve">13/13 consultas</w:t>
            </w:r>
          </w:p>
        </w:tc>
        <w:tc>
          <w:tcPr/>
          <w:p>
            <w:pPr>
              <w:pStyle w:val="Compact"/>
            </w:pPr>
            <w:r>
              <w:t xml:space="preserve">100</w:t>
            </w:r>
          </w:p>
        </w:tc>
        <w:tc>
          <w:tcPr/>
          <w:p>
            <w:pPr>
              <w:pStyle w:val="Compact"/>
            </w:pPr>
            <w:r>
              <w:t xml:space="preserve">Seleção correta de servidor</w:t>
            </w:r>
          </w:p>
        </w:tc>
      </w:tr>
      <w:tr>
        <w:tc>
          <w:tcPr/>
          <w:p>
            <w:pPr>
              <w:pStyle w:val="Compact"/>
            </w:pPr>
            <w:r>
              <w:t xml:space="preserve">Consultas Multi-Sistema</w:t>
            </w:r>
          </w:p>
        </w:tc>
        <w:tc>
          <w:tcPr/>
          <w:p>
            <w:pPr>
              <w:pStyle w:val="Compact"/>
            </w:pPr>
            <w:r>
              <w:t xml:space="preserve">3</w:t>
            </w:r>
          </w:p>
        </w:tc>
        <w:tc>
          <w:tcPr/>
          <w:p>
            <w:pPr>
              <w:pStyle w:val="Compact"/>
            </w:pPr>
            <w:r>
              <w:t xml:space="preserve">100</w:t>
            </w:r>
          </w:p>
        </w:tc>
        <w:tc>
          <w:tcPr/>
          <w:p>
            <w:pPr>
              <w:pStyle w:val="Compact"/>
            </w:pPr>
            <w:r>
              <w:t xml:space="preserve">Agregação de dados funcionando</w:t>
            </w:r>
          </w:p>
        </w:tc>
      </w:tr>
      <w:tr>
        <w:tc>
          <w:tcPr/>
          <w:p>
            <w:pPr>
              <w:pStyle w:val="Compact"/>
            </w:pPr>
            <w:r>
              <w:t xml:space="preserve">Disponibilidade Parcial</w:t>
            </w:r>
          </w:p>
        </w:tc>
        <w:tc>
          <w:tcPr/>
          <w:p>
            <w:pPr>
              <w:pStyle w:val="Compact"/>
            </w:pPr>
            <w:r>
              <w:t xml:space="preserve">Testado</w:t>
            </w:r>
          </w:p>
        </w:tc>
        <w:tc>
          <w:tcPr/>
          <w:p>
            <w:pPr>
              <w:pStyle w:val="Compact"/>
            </w:pPr>
            <w:r>
              <w:t xml:space="preserve">100</w:t>
            </w:r>
          </w:p>
        </w:tc>
        <w:tc>
          <w:tcPr/>
          <w:p>
            <w:pPr>
              <w:pStyle w:val="Compact"/>
            </w:pPr>
            <w:r>
              <w:t xml:space="preserve">Funcionamento com falhas parciais</w:t>
            </w:r>
          </w:p>
        </w:tc>
      </w:tr>
    </w:tbl>
    <w:p>
      <w:pPr>
        <w:pStyle w:val="BodyText"/>
      </w:pPr>
      <w:r>
        <w:t xml:space="preserve">Os resultados confirmam que o sistema consegue coordenar múltiplos servidores MCP simultaneamente, mantendo descoberta automática de ferramentas e roteamento inteligente de solicitações. A capacidade de agregação de dados entre sistemas diferentes foi validada através de consultas que requereram informações de ambos os domínios testados (equipamentos e profissionais).</w:t>
      </w:r>
    </w:p>
    <w:bookmarkEnd w:id="58"/>
    <w:bookmarkStart w:id="59" w:name="validação-da-prova-de-conceito"/>
    <w:p>
      <w:pPr>
        <w:pStyle w:val="Ttulo2"/>
      </w:pPr>
      <w:r>
        <w:t xml:space="preserve">4.6 Validação da Prova de Conceito</w:t>
      </w:r>
    </w:p>
    <w:p>
      <w:pPr>
        <w:pStyle w:val="FirstParagraph"/>
      </w:pPr>
      <w:r>
        <w:t xml:space="preserve">Os resultados apresentados indicam que a abordagem OpenAPI-MCP é tecnicamente viável e operacionalmente eficaz para integração de agentes conversacionais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br/>
      </w:r>
      <w:r>
        <w:rPr>
          <w:b/>
          <w:bCs/>
        </w:rPr>
        <w:t xml:space="preserve">Gerenciamento Multi-Servidor:</w:t>
      </w:r>
      <w:r>
        <w:t xml:space="preserve"> </w:t>
      </w:r>
      <w:r>
        <w:t xml:space="preserve">2 servidores coordenados simultaneamente com 100% eficácia</w:t>
      </w:r>
      <w:r>
        <w:br/>
      </w:r>
      <w:r>
        <w:rPr>
          <w:b/>
          <w:bCs/>
        </w:rPr>
        <w:t xml:space="preserve">Integração LLM:</w:t>
      </w:r>
      <w:r>
        <w:t xml:space="preserve"> </w:t>
      </w:r>
      <w:r>
        <w:t xml:space="preserve">Taxa de sucesso de 100% na interpretação de intenções (13/13 consultas)</w:t>
      </w:r>
      <w:r>
        <w:br/>
      </w:r>
      <w:r>
        <w:rPr>
          <w:b/>
          <w:bCs/>
        </w:rPr>
        <w:t xml:space="preserve">Robustez Operacional:</w:t>
      </w:r>
      <w:r>
        <w:t xml:space="preserve"> </w:t>
      </w:r>
      <w:r>
        <w:t xml:space="preserve">Sistema mantém funcionalidade durante cenários de falha testados</w:t>
      </w:r>
      <w:r>
        <w:br/>
      </w:r>
      <w:r>
        <w:rPr>
          <w:b/>
          <w:bCs/>
        </w:rPr>
        <w:t xml:space="preserve">Segurança:</w:t>
      </w:r>
      <w:r>
        <w:t xml:space="preserve"> </w:t>
      </w:r>
      <w:r>
        <w:t xml:space="preserve">100% de proteção contra 16 vetores de ataque básicos testados</w:t>
      </w:r>
      <w:r>
        <w:br/>
      </w:r>
      <w:r>
        <w:rPr>
          <w:b/>
          <w:bCs/>
        </w:rPr>
        <w:t xml:space="preserve">Experiência do Usuário:</w:t>
      </w:r>
      <w:r>
        <w:t xml:space="preserve"> </w:t>
      </w:r>
      <w:r>
        <w:t xml:space="preserve">Pontuação 4,0/5,0 em satisfação geral</w:t>
      </w:r>
    </w:p>
    <w:p>
      <w:pPr>
        <w:pStyle w:val="BodyText"/>
      </w:pPr>
      <w:r>
        <w:t xml:space="preserve">A prova de conceito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p>
      <w:pPr>
        <w:pStyle w:val="BodyText"/>
      </w:pPr>
      <w:r>
        <w:rPr>
          <w:b/>
          <w:bCs/>
        </w:rPr>
        <w:t xml:space="preserve">Reprodutibilidade:</w:t>
      </w:r>
      <w:r>
        <w:t xml:space="preserve"> </w:t>
      </w:r>
      <w:r>
        <w:t xml:space="preserve">Todos os testes e dados estão disponíveis no repositório público github.com/castrozan/tcc, incluindo scripts de automação, configurações de ambiente e datasets utilizados nos experimentos, garantindo reprodutibilidade completa dos resultados obtidos.</w:t>
      </w:r>
    </w:p>
    <w:bookmarkEnd w:id="59"/>
    <w:bookmarkEnd w:id="60"/>
    <w:bookmarkStart w:id="68"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Model Context Protocol pode facilitar a integração de agentes conversacionais baseados em IA com sistemas web existentes, dentro do escopo experimental testado. A prova de conceito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61" w:name="resposta-à-pergunta-de-pesquisa"/>
    <w:p>
      <w:pPr>
        <w:pStyle w:val="Ttulo2"/>
      </w:pPr>
      <w:r>
        <w:t xml:space="preserve">5.1 Resposta à Pergunta de Pesquisa</w:t>
      </w:r>
    </w:p>
    <w:p>
      <w:pPr>
        <w:pStyle w:val="FirstParagraph"/>
      </w:pPr>
      <w:r>
        <w:t xml:space="preserve">A pergunta central de pesquisa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preliminarmente através de evidências quantitativas obtidas na prova de conceito, estabelecendo indicadores iniciais promissores sobre a viabilidade da abordagem proposta.</w:t>
      </w:r>
    </w:p>
    <w:p>
      <w:pPr>
        <w:pStyle w:val="BodyText"/>
      </w:pPr>
      <w:r>
        <w:t xml:space="preserve">Em relação à eficiência operacional, a abordagem demonstrou viabilidade técnica inicial no contexto experimental testado, apresentando tempo médio de resposta de 3,757ms com variação significativa de 1,335 a 5,823ms. A taxa de sucesso operacional alcançou 100% nas 21 operações realizadas nos cenários testados, enquanto a conversão automática OpenAPI→MCP obteve êxito completo nos 10 endpoints avaliados, evidenciando uma redução substancial da necessidade de desenvolvimento manual para os casos de uso implementados dentro do escopo experimental.</w:t>
      </w:r>
    </w:p>
    <w:p>
      <w:pPr>
        <w:pStyle w:val="BodyText"/>
      </w:pPr>
      <w:r>
        <w:t xml:space="preserve">Quanto aos aspectos de segurança, os resultados demonstraram proteção adequada inicial contra os vetores básicos testados, com 100% de eficácia no bloqueio de 16 tipos de ataques fundamentais. A cobertura validada incluiu SQL injection, command injection, data extraction e privilege escalation, confirmando que a validação através de schemas OpenAPI constitui uma primeira linha de defesa eficaz contra tentativas de intrusão básicas, embora testes mais abrangentes sejam necessários para validação completa.</w:t>
      </w:r>
    </w:p>
    <w:p>
      <w:pPr>
        <w:pStyle w:val="BodyText"/>
      </w:pPr>
      <w:r>
        <w:t xml:space="preserve">No que concerne à integração funcional, o escopo experimental revelou coordenação eficiente entre 2 sistemas simultâneos com 100% de eficácia, descoberta automática completa das 10 ferramentas disponíveis e roteamento inteligente preciso para todas as 13 consultas direcionadas. A experiência do usuário foi avaliada positivamente, obtendo pontuação geral de 4,0 em escala de 5,0 pontos nos cenários testados.</w:t>
      </w:r>
    </w:p>
    <w:p>
      <w:pPr>
        <w:pStyle w:val="BodyText"/>
      </w:pPr>
      <w:r>
        <w:t xml:space="preserve">A validação experimental confirma que a abordagem OpenAPI-MCP oferece uma solução tecnicamente viável para os cenários testados, estabelecendo evidências iniciais convincentes de sua aplicabilidade para democratização do acesso a sistemas técnicos através de interfaces conversacionais naturais. Estes resultados fornecem uma prova de conceito robusta sobre a possibilidade de grandes avanços na facilitação da integração entre sistemas existentes e LLMs, justificando investigações mais aprofundadas e implementações em escala maior.</w:t>
      </w:r>
    </w:p>
    <w:bookmarkEnd w:id="61"/>
    <w:bookmarkStart w:id="62" w:name="atendimento-aos-objetivos-específicos"/>
    <w:p>
      <w:pPr>
        <w:pStyle w:val="Ttulo2"/>
      </w:pPr>
      <w:r>
        <w:t xml:space="preserve">5.2 Atendimento aos Objetivos Específicos</w:t>
      </w:r>
    </w:p>
    <w:p>
      <w:pPr>
        <w:pStyle w:val="FirstParagraph"/>
      </w:pPr>
      <w:r>
        <w:t xml:space="preserve">O primeiro objetivo específico, que consistia no desenvolvimento de um gerador automático de servidores MCP a partir de especificações OpenAPI, foi plenamente alcançado. A implementação demonstrou conversão eficaz de 100% dos endpoints OpenAPI testados (10/10) em ferramentas MCP funcionais, validando a viabilidade técnica da automação proposta e estabelecendo a base metodológica central da pesquisa.</w:t>
      </w:r>
    </w:p>
    <w:p>
      <w:pPr>
        <w:pStyle w:val="BodyText"/>
      </w:pPr>
      <w:r>
        <w:t xml:space="preserve">Quanto ao segundo objetivo, a implementação de um cliente capaz de gerenciar múltiplos servidores MCP simultaneamente, os resultados confirmam sua realização satisfatória. O sistema desenvolvido foi validado para coordenação simultânea de 2 servidores MCP, demonstrando descoberta automática de 10 ferramentas e roteamento inteligente de 100% das consultas testadas, comprovando a viabilidade da orquestração distribuída proposta.</w:t>
      </w:r>
    </w:p>
    <w:p>
      <w:pPr>
        <w:pStyle w:val="BodyText"/>
      </w:pPr>
      <w:r>
        <w:t xml:space="preserve">O terceiro objetivo, relacionado à avaliação sistemática da solução através de testes rigorosos, foi cumprido mediante a condução de testes automatizados</w:t>
      </w:r>
      <w:r>
        <w:t xml:space="preserve"> </w:t>
      </w:r>
      <w:r>
        <w:rPr>
          <w:i/>
          <w:iCs/>
        </w:rPr>
        <w:t xml:space="preserve">end-to-end</w:t>
      </w:r>
      <w:r>
        <w:t xml:space="preserve"> </w:t>
      </w:r>
      <w:r>
        <w:t xml:space="preserve">que validaram múltiplas dimensões da implementação. Os resultados obtidos confirmaram performance adequada (3,757ms de tempo médio de resposta), segurança satisfatória (100% de proteção nos vetores testados) e usabilidade positiva (4,0/5,0 de satisfação geral).</w:t>
      </w:r>
    </w:p>
    <w:p>
      <w:pPr>
        <w:pStyle w:val="BodyText"/>
      </w:pPr>
      <w:r>
        <w:t xml:space="preserve">Por fim, o quarto objetivo, consistente na análise crítica de benefícios e limitações da abordagem proposta, foi atendido através da identificação sistemática de vantagens em automação de integração e simplificação de acesso, bem como do reconhecimento de limitações importantes relacionadas à variabilidade de performance e ao escopo restrito de validação experimental.</w:t>
      </w:r>
    </w:p>
    <w:bookmarkEnd w:id="62"/>
    <w:bookmarkStart w:id="63" w:name="Xb950f22d0bf9863c48c0bffb070b57637539774"/>
    <w:p>
      <w:pPr>
        <w:pStyle w:val="Ttulo2"/>
      </w:pPr>
      <w:r>
        <w:t xml:space="preserve">5.3 Limitações Identificadas e Suas Implicações</w:t>
      </w:r>
    </w:p>
    <w:p>
      <w:pPr>
        <w:pStyle w:val="FirstParagraph"/>
      </w:pPr>
      <w:r>
        <w:t xml:space="preserve">A análise experimental revelou limitações específicas que devem ser consideradas para implementações práticas da abordagem OpenAPI-MCP e que qualificam adequadamente o escopo e aplicabilidade dos resultados obtidos:</w:t>
      </w:r>
    </w:p>
    <w:p>
      <w:pPr>
        <w:pStyle w:val="BodyText"/>
      </w:pPr>
      <w:r>
        <w:rPr>
          <w:b/>
          <w:bCs/>
        </w:rPr>
        <w:t xml:space="preserve">Limitação 1: Variabilidade Significativa de Performance</w:t>
      </w:r>
      <w:r>
        <w:t xml:space="preserve"> </w:t>
      </w:r>
      <w:r>
        <w:t xml:space="preserve">- Desvio observado: 1.335ms a 5,823ms (variação de 336%)</w:t>
      </w:r>
      <w:r>
        <w:t xml:space="preserve"> </w:t>
      </w:r>
      <w:r>
        <w:t xml:space="preserve">- Impacto: Tempos de resposta inconsistentes dependem da complexidade da consulta e processamento LLM</w:t>
      </w:r>
      <w:r>
        <w:t xml:space="preserve"> </w:t>
      </w:r>
      <w:r>
        <w:t xml:space="preserve">- Implicação prática: Sistemas críticos com requisitos de latência rígida podem enfrentar desafios de previsibilidade</w:t>
      </w:r>
      <w:r>
        <w:t xml:space="preserve"> </w:t>
      </w:r>
      <w:r>
        <w:t xml:space="preserve">- Análise detalhada: Esta variabilidade representa uma limitação fundamental para aplicações em tempo real, exigindo estratégias de otimização como cache inteligente e paralelização de processamento</w:t>
      </w:r>
    </w:p>
    <w:p>
      <w:pPr>
        <w:pStyle w:val="BodyText"/>
      </w:pPr>
      <w:r>
        <w:rPr>
          <w:b/>
          <w:bCs/>
        </w:rPr>
        <w:t xml:space="preserve">Limitação 2: Dependência da Qualidade das Especificações OpenAPI</w:t>
      </w:r>
      <w:r>
        <w:t xml:space="preserve"> </w:t>
      </w:r>
      <w:r>
        <w:t xml:space="preserve">- Observação: 100% de sucesso observado apenas com especificações bem documentadas e atualizadas</w:t>
      </w:r>
      <w:r>
        <w:t xml:space="preserve"> </w:t>
      </w:r>
      <w:r>
        <w:t xml:space="preserve">- Risco: APIs com documentação incompleta, desatualizada ou ambígua podem comprometer significativamente a geração de servidores MCP</w:t>
      </w:r>
      <w:r>
        <w:t xml:space="preserve"> </w:t>
      </w:r>
      <w:r>
        <w:t xml:space="preserve">- Necessidade: Validação prévia rigorosa das especificações OpenAPI antes da conversão</w:t>
      </w:r>
      <w:r>
        <w:t xml:space="preserve"> </w:t>
      </w:r>
      <w:r>
        <w:t xml:space="preserve">- Implicação prática: Organizações com práticas inconsistentes de documentação de API podem enfrentar barreiras significativas na adoção da solução, limitando sua aplicabilidade imediata</w:t>
      </w:r>
    </w:p>
    <w:p>
      <w:pPr>
        <w:pStyle w:val="BodyText"/>
      </w:pPr>
      <w:r>
        <w:rPr>
          <w:b/>
          <w:bCs/>
        </w:rPr>
        <w:t xml:space="preserve">Limitação 3: Escalabilidade Experimental Restrita</w:t>
      </w:r>
      <w:r>
        <w:t xml:space="preserve"> </w:t>
      </w:r>
      <w:r>
        <w:t xml:space="preserve">- Contexto testado: Apenas 2 servidores MCP simultâneos e 21 operações totais</w:t>
      </w:r>
      <w:r>
        <w:t xml:space="preserve"> </w:t>
      </w:r>
      <w:r>
        <w:t xml:space="preserve">- Incerteza crítica: Performance e estabilidade com N&gt;10 servidores não foram avaliadas experimentalmente</w:t>
      </w:r>
      <w:r>
        <w:t xml:space="preserve"> </w:t>
      </w:r>
      <w:r>
        <w:t xml:space="preserve">- Recomendação: Testes de carga extensivos são necessários para validação empresarial</w:t>
      </w:r>
      <w:r>
        <w:t xml:space="preserve"> </w:t>
      </w:r>
      <w:r>
        <w:t xml:space="preserve">- Implicação: A escalabilidade para ambientes empresariais complexos permanece como questão em aberto, requerendo investigação adicional antes de implementações de larga escala</w:t>
      </w:r>
    </w:p>
    <w:p>
      <w:pPr>
        <w:pStyle w:val="BodyText"/>
      </w:pPr>
      <w:r>
        <w:rPr>
          <w:b/>
          <w:bCs/>
        </w:rPr>
        <w:t xml:space="preserve">Limitação 4: Complexidade de Configuração e Setup Inicial</w:t>
      </w:r>
      <w:r>
        <w:t xml:space="preserve"> </w:t>
      </w:r>
      <w:r>
        <w:t xml:space="preserve">- Requisito: Conhecimento técnico especializado para configuração e manutenção do sistema</w:t>
      </w:r>
      <w:r>
        <w:t xml:space="preserve"> </w:t>
      </w:r>
      <w:r>
        <w:t xml:space="preserve">- Barreira de adoção: Organizações com recursos técnicos limitados podem enfrentar dificuldades substanciais</w:t>
      </w:r>
      <w:r>
        <w:t xml:space="preserve"> </w:t>
      </w:r>
      <w:r>
        <w:t xml:space="preserve">- Estimativa: Tempo de configuração ainda superior a soluções pré-configuradas disponíveis no mercado</w:t>
      </w:r>
      <w:r>
        <w:t xml:space="preserve"> </w:t>
      </w:r>
      <w:r>
        <w:t xml:space="preserve">- Contexto: Embora significativamente menor que o desenvolvimento customizado tradicional, o overhead inicial permanece como fator limitante</w:t>
      </w:r>
    </w:p>
    <w:p>
      <w:pPr>
        <w:pStyle w:val="BodyText"/>
      </w:pPr>
      <w:r>
        <w:rPr>
          <w:b/>
          <w:bCs/>
        </w:rPr>
        <w:t xml:space="preserve">Limitação 5: Escopo Restrito dos Testes de Segurança</w:t>
      </w:r>
      <w:r>
        <w:t xml:space="preserve"> </w:t>
      </w:r>
      <w:r>
        <w:t xml:space="preserve">- Cobertura atual: Apenas ataques básicos de injeção (SQL, comando, extração de dados, escalação de privilégios)</w:t>
      </w:r>
      <w:r>
        <w:t xml:space="preserve"> </w:t>
      </w:r>
      <w:r>
        <w:t xml:space="preserve">- Lacunas identificadas: Ausência de testes contra ameaças avançadas, ataques persistentes e cenários de engenharia social</w:t>
      </w:r>
      <w:r>
        <w:t xml:space="preserve"> </w:t>
      </w:r>
      <w:r>
        <w:t xml:space="preserve">- Implicação crítica: Implementações em produção requerem avaliação de segurança substancialmente mais abrangente</w:t>
      </w:r>
      <w:r>
        <w:t xml:space="preserve"> </w:t>
      </w:r>
      <w:r>
        <w:t xml:space="preserve">- Recomendação: Desenvolvimento de suíte de testes de segurança mais robusta para validação empresarial</w:t>
      </w:r>
    </w:p>
    <w:bookmarkEnd w:id="63"/>
    <w:bookmarkStart w:id="64" w:name="contexto-e-adequação-das-limitações"/>
    <w:p>
      <w:pPr>
        <w:pStyle w:val="Ttulo2"/>
      </w:pPr>
      <w:r>
        <w:t xml:space="preserve">5.4 Contexto e Adequação das Limitações</w:t>
      </w:r>
    </w:p>
    <w:p>
      <w:pPr>
        <w:pStyle w:val="FirstParagraph"/>
      </w:pPr>
      <w:r>
        <w:t xml:space="preserve">É fundamental reconhecer que as limitações identificadas são apropriadas e esperadas para o escopo de uma prova de conceito acadêmica. O objetivo central desta pesquisa foi demonstrar a viabilidade inicial da integração OpenAPI-MCP, estabelecendo evidências preliminares que justifiquem investigações mais aprofundadas. Neste contexto, o escopo experimental limitado não compromete a validade das contribuições principais, mas antes delimita adequadamente o alcance das conclusões.</w:t>
      </w:r>
    </w:p>
    <w:p>
      <w:pPr>
        <w:pStyle w:val="BodyText"/>
      </w:pPr>
      <w:r>
        <w:t xml:space="preserve">A análise crítica dos dados revela que, embora a abordagem OpenAPI-MCP demonstre viabilidade técnica convincente para os cenários testados, sua adoção prática em larga escala está condicionada à superação dessas limitações através de desenvolvimentos futuros. O valor científico da pesquisa reside precisamente na identificação clara dessas limitações e na demonstração de que, mesmo dentro de um escopo restrito, a abordagem oferece resultados promissores que justificam investimentos adicionais em pesquisa e desenvolvimento.</w:t>
      </w:r>
    </w:p>
    <w:bookmarkEnd w:id="64"/>
    <w:bookmarkStart w:id="65" w:name="contribuições-científicas-e-práticas"/>
    <w:p>
      <w:pPr>
        <w:pStyle w:val="Ttulo2"/>
      </w:pPr>
      <w:r>
        <w:t xml:space="preserve">5.5 Contribuições Científicas e Práticas</w:t>
      </w:r>
    </w:p>
    <w:p>
      <w:pPr>
        <w:pStyle w:val="FirstParagraph"/>
      </w:pPr>
      <w:r>
        <w:t xml:space="preserve">Este estudo estabelece contribuições em três dimensões complementares para o avanço do conhecimento na área de integração de agentes conversacionais. Do ponto de vista metodológico, a pesquisa demonstra uma abordagem sistemática para conversão automática OpenAPI→MCP, fornecendo evidências iniciais de viabilidade técnica e operacional que podem orientar desenvolvimentos futuros na área.</w:t>
      </w:r>
    </w:p>
    <w:p>
      <w:pPr>
        <w:pStyle w:val="BodyText"/>
      </w:pPr>
      <w:r>
        <w:t xml:space="preserve">A contribuição prática manifesta-se através da implementação de uma prova de conceito funcional que demonstra coordenação multi-servidor e integração efetiva com modelos de linguagem. A disponibilização pública do código-fonte e documentação técnica facilita a reprodução e extensão dos resultados por outros pesquisadores, promovendo o avanço colaborativo do conhecimento.</w:t>
      </w:r>
    </w:p>
    <w:p>
      <w:pPr>
        <w:pStyle w:val="BodyText"/>
      </w:pPr>
      <w:r>
        <w:t xml:space="preserve">A contribuição científica estabelece-se pela validação experimental estruturada com métricas quantitativas objetivas, criando uma base empírica inicial para pesquisas futuras na área de integração de agentes conversacionais. A metodologia desenvolvida oferece um framework reproduzível para avaliação de soluções similares, contribuindo para o estabelecimento de padrões de validação na área.</w:t>
      </w:r>
    </w:p>
    <w:bookmarkEnd w:id="65"/>
    <w:bookmarkStart w:id="66" w:name="direcionamentos-para-pesquisas-futuras"/>
    <w:p>
      <w:pPr>
        <w:pStyle w:val="Ttulo2"/>
      </w:pPr>
      <w:r>
        <w:t xml:space="preserve">5.6 Direcionamentos para Pesquisas Futuras</w:t>
      </w:r>
    </w:p>
    <w:p>
      <w:pPr>
        <w:pStyle w:val="FirstParagraph"/>
      </w:pPr>
      <w:r>
        <w:t xml:space="preserve">Com base nas limitações identificadas e nos resultados obtidos, pesquisas futuras poderiam explorar diferentes vertentes de aprimoramento e expansão da abordagem proposta. Em relação à escalabilidade, recomenda-se validação experimental com N&gt;5 servidores MCP simultâneos para verificar o comportamento da solução em ambientes empresariais complexos e identificar possíveis gargalos de performance.</w:t>
      </w:r>
    </w:p>
    <w:p>
      <w:pPr>
        <w:pStyle w:val="BodyText"/>
      </w:pPr>
      <w:r>
        <w:t xml:space="preserve">Quanto à otimização de performance, sugere-se a investigação de técnicas de cache inteligente e paralelização para reduzir a variabilidade observada nos tempos de resposta. Tais melhorias poderiam tornar a solução mais adequada para aplicações com requisitos rigorosos de latência e previsibilidade.</w:t>
      </w:r>
    </w:p>
    <w:p>
      <w:pPr>
        <w:pStyle w:val="BodyText"/>
      </w:pPr>
      <w:r>
        <w:t xml:space="preserve">No domínio da segurança, recomenda-se a ampliação da avaliação para incluir ameaças sofisticadas e cenários de ataque persistente avançado. Esta expansão é fundamental para validar a adequação da abordagem em ambientes de produção com altos requisitos de segurança.</w:t>
      </w:r>
    </w:p>
    <w:p>
      <w:pPr>
        <w:pStyle w:val="BodyText"/>
      </w:pPr>
      <w:r>
        <w:t xml:space="preserve">Finalmente, o desenvolvimento de capacidades de aprendizado adaptativo, onde o sistema otimiza sua performance baseado em padrões de uso histórico, representa uma direção promissora para pesquisas futuras. Tais funcionalidades poderiam melhorar significativamente a eficiência e usabilidade da solução em implementações práticas.</w:t>
      </w:r>
    </w:p>
    <w:bookmarkEnd w:id="66"/>
    <w:bookmarkStart w:id="67" w:name="conclusão-final"/>
    <w:p>
      <w:pPr>
        <w:pStyle w:val="Ttulo2"/>
      </w:pPr>
      <w:r>
        <w:t xml:space="preserve">5.7 Conclusão Final</w:t>
      </w:r>
    </w:p>
    <w:p>
      <w:pPr>
        <w:pStyle w:val="FirstParagraph"/>
      </w:pPr>
      <w:r>
        <w:t xml:space="preserve">A pesquisa demonstra que a combinação OpenAPI-MCP representa uma abordagem tecnicamente viável para integração de agentes conversacionais com sistemas web, dentro dos parâmetros experimentais testados, fornecendo uma prova de conceito convincente sobre a possibilidade de grandes avanços na facilitação da integração entre sistemas existentes e LLMs. Os resultados quantitativos obtidos (100% taxa de sucesso nas conversões, 4,0/5,0 satisfação do usuário, proteção completa contra vetores básicos de ataque testados) fornecem evidências empíricas iniciais de eficácia funcional que justificam otimismo quanto ao potencial da abordagem.</w:t>
      </w:r>
    </w:p>
    <w:p>
      <w:pPr>
        <w:pStyle w:val="BodyText"/>
      </w:pPr>
      <w:r>
        <w:t xml:space="preserve">No entanto, a aplicabilidade prática em larga escala está condicionada às limitações identificadas, particularmente a variabilidade de performance (336% de variação), o escopo restrito de validação experimental (2 servidores, 21 operações) e a necessidade de testes de segurança mais abrangentes. A contribuição científica principal reside na demonstração inicial de viabilidade conceitual e no estabelecimento de uma metodologia reproduzível para avaliação de integrações similares, criando uma base sólida para desenvolvimentos futuros.</w:t>
      </w:r>
    </w:p>
    <w:p>
      <w:pPr>
        <w:pStyle w:val="BodyText"/>
      </w:pPr>
      <w:r>
        <w:t xml:space="preserve">A abordagem OpenAPI-MCP oferece uma direção promissora para democratização do acesso a sistemas técnicos complexos, representando um avanço significativo na redução da complexidade tradicionalmente associada à integração de agentes conversacionais em ambientes empresariais. Os resultados estabelecem evidências preliminares robustas de que é possível simplificar drasticamente o processo de criação de interfaces conversacionais para sistemas existentes, eliminando grande parte da necessidade de desenvolvimento customizado manual.</w:t>
      </w:r>
    </w:p>
    <w:p>
      <w:pPr>
        <w:pStyle w:val="BodyText"/>
      </w:pPr>
      <w:r>
        <w:t xml:space="preserve">Esta pesquisa comprova que a integração entre especificações OpenAPI e o protocolo MCP constitui uma solução viável para transformar APIs tradicionais em interfaces acessíveis a agentes baseados em LLMs, oferecendo um caminho claro para a democratização tecnológica. Embora sejam necessárias expansões do escopo experimental e refinamentos técnicos antes de implementações empresariais de larga escala, os fundamentos estabelecidos demonstram inequivocamente a possibilidade de grandes avanços na área, justificando investimentos adicionais em pesquisa e desenvolvimento para exploração completa do potencial da abordagem proposta.</w:t>
      </w:r>
    </w:p>
    <w:bookmarkEnd w:id="67"/>
    <w:bookmarkEnd w:id="68"/>
    <w:bookmarkStart w:id="102" w:name="referências"/>
    <w:p>
      <w:pPr>
        <w:pStyle w:val="Ttulo1"/>
      </w:pPr>
      <w:r>
        <w:t xml:space="preserve">REFERÊNCIAS</w:t>
      </w:r>
    </w:p>
    <w:bookmarkStart w:id="101" w:name="refs"/>
    <w:bookmarkStart w:id="70"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9">
        <w:r>
          <w:rPr>
            <w:rStyle w:val="Hyperlink"/>
          </w:rPr>
          <w:t xml:space="preserve">https://www.anthropic.com/news/model-context-protocol</w:t>
        </w:r>
      </w:hyperlink>
      <w:r>
        <w:t xml:space="preserve">&gt;. Acesso em: 12 abr. 2025.</w:t>
      </w:r>
    </w:p>
    <w:bookmarkEnd w:id="70"/>
    <w:bookmarkStart w:id="72"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71">
        <w:r>
          <w:rPr>
            <w:rStyle w:val="Hyperlink"/>
          </w:rPr>
          <w:t xml:space="preserve">https://developers.redhat.com/blog/2024/10/25/building-agents-large-language-modelsllms-and-nodejs</w:t>
        </w:r>
      </w:hyperlink>
      <w:r>
        <w:t xml:space="preserve">, 2024.</w:t>
      </w:r>
    </w:p>
    <w:bookmarkEnd w:id="72"/>
    <w:bookmarkStart w:id="74"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73">
        <w:r>
          <w:rPr>
            <w:rStyle w:val="Hyperlink"/>
          </w:rPr>
          <w:t xml:space="preserve">https://hal.science/hal-04545073</w:t>
        </w:r>
      </w:hyperlink>
      <w:r>
        <w:t xml:space="preserve">&gt;</w:t>
      </w:r>
    </w:p>
    <w:bookmarkEnd w:id="74"/>
    <w:bookmarkStart w:id="76" w:name="ref-Deng2023AMA"/>
    <w:p>
      <w:pPr>
        <w:pStyle w:val="Bibliography"/>
      </w:pPr>
      <w:r>
        <w:t xml:space="preserve">DENG, X.</w:t>
      </w:r>
      <w:r>
        <w:t xml:space="preserve"> </w:t>
      </w:r>
      <w:hyperlink r:id="rId75">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6"/>
    <w:bookmarkStart w:id="7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7">
        <w:r>
          <w:rPr>
            <w:rStyle w:val="Hyperlink"/>
          </w:rPr>
          <w:t xml:space="preserve">https://arxiv.org/abs/1707.05015</w:t>
        </w:r>
      </w:hyperlink>
      <w:r>
        <w:t xml:space="preserve">&gt;</w:t>
      </w:r>
    </w:p>
    <w:bookmarkEnd w:id="78"/>
    <w:bookmarkStart w:id="8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0"/>
    <w:bookmarkStart w:id="82" w:name="ref-john2025owasp"/>
    <w:p>
      <w:pPr>
        <w:pStyle w:val="Bibliography"/>
      </w:pPr>
      <w:r>
        <w:t xml:space="preserve">JOHN, S. et al.</w:t>
      </w:r>
      <w:r>
        <w:t xml:space="preserve"> </w:t>
      </w:r>
      <w:hyperlink r:id="rId81">
        <w:r>
          <w:rPr>
            <w:rStyle w:val="Hyperlink"/>
            <w:b/>
            <w:bCs/>
          </w:rPr>
          <w:t xml:space="preserve">OWASP Top 10 for LLM Apps &amp; Gen AI Agentic Security Initiative</w:t>
        </w:r>
      </w:hyperlink>
      <w:r>
        <w:t xml:space="preserve">. tese de doutorado—[s.l.] OWASP, 2025.</w:t>
      </w:r>
    </w:p>
    <w:bookmarkEnd w:id="82"/>
    <w:bookmarkStart w:id="84" w:name="ref-Kocaballi2019"/>
    <w:p>
      <w:pPr>
        <w:pStyle w:val="Bibliography"/>
      </w:pPr>
      <w:r>
        <w:t xml:space="preserve">KOCABALLI, A. B. et al.</w:t>
      </w:r>
      <w:r>
        <w:t xml:space="preserve"> </w:t>
      </w:r>
      <w:hyperlink r:id="rId83">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4"/>
    <w:bookmarkStart w:id="86" w:name="ref-Lister2020AccessibleCU"/>
    <w:p>
      <w:pPr>
        <w:pStyle w:val="Bibliography"/>
      </w:pPr>
      <w:r>
        <w:t xml:space="preserve">LISTER, K. et al.</w:t>
      </w:r>
      <w:r>
        <w:t xml:space="preserve"> </w:t>
      </w:r>
      <w:hyperlink r:id="rId85">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6"/>
    <w:bookmarkStart w:id="88"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7">
        <w:r>
          <w:rPr>
            <w:rStyle w:val="Hyperlink"/>
          </w:rPr>
          <w:t xml:space="preserve">https://modelcontextprotocol.io/introduction</w:t>
        </w:r>
      </w:hyperlink>
      <w:r>
        <w:t xml:space="preserve">&gt;</w:t>
      </w:r>
    </w:p>
    <w:bookmarkEnd w:id="88"/>
    <w:bookmarkStart w:id="90"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9">
        <w:r>
          <w:rPr>
            <w:rStyle w:val="Hyperlink"/>
          </w:rPr>
          <w:t xml:space="preserve">https://openai.com/index/instruction-following/</w:t>
        </w:r>
      </w:hyperlink>
      <w:r>
        <w:t xml:space="preserve">&gt;. Acesso em: 12 abr. 2025.</w:t>
      </w:r>
    </w:p>
    <w:bookmarkEnd w:id="90"/>
    <w:bookmarkStart w:id="92" w:name="ref-openai2023gpt4"/>
    <w:p>
      <w:pPr>
        <w:pStyle w:val="Bibliography"/>
      </w:pPr>
      <w:r>
        <w:t xml:space="preserve">OPENAI.</w:t>
      </w:r>
      <w:r>
        <w:t xml:space="preserve"> </w:t>
      </w:r>
      <w:r>
        <w:rPr>
          <w:b/>
          <w:bCs/>
        </w:rPr>
        <w:t xml:space="preserve">GPT-4 Research</w:t>
      </w:r>
      <w:r>
        <w:t xml:space="preserve">. [s.l.] OpenAI, a2023. Disponível em: &lt;</w:t>
      </w:r>
      <w:hyperlink r:id="rId91">
        <w:r>
          <w:rPr>
            <w:rStyle w:val="Hyperlink"/>
          </w:rPr>
          <w:t xml:space="preserve">https://openai.com/index/gpt-4-research/</w:t>
        </w:r>
      </w:hyperlink>
      <w:r>
        <w:t xml:space="preserve">&gt;.</w:t>
      </w:r>
    </w:p>
    <w:bookmarkEnd w:id="92"/>
    <w:bookmarkStart w:id="94"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93">
        <w:r>
          <w:rPr>
            <w:rStyle w:val="Hyperlink"/>
          </w:rPr>
          <w:t xml:space="preserve">https://openai.com/index/function-calling-and-other-api-updates/</w:t>
        </w:r>
      </w:hyperlink>
      <w:r>
        <w:t xml:space="preserve">&gt;. Acesso em: 12 abr. 2025b.</w:t>
      </w:r>
    </w:p>
    <w:bookmarkEnd w:id="94"/>
    <w:bookmarkStart w:id="96"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5">
        <w:r>
          <w:rPr>
            <w:rStyle w:val="Hyperlink"/>
          </w:rPr>
          <w:t xml:space="preserve">https://learn.openapis.org/docs/getting-started</w:t>
        </w:r>
      </w:hyperlink>
      <w:r>
        <w:t xml:space="preserve">&gt;</w:t>
      </w:r>
    </w:p>
    <w:bookmarkEnd w:id="96"/>
    <w:bookmarkStart w:id="98"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7">
        <w:r>
          <w:rPr>
            <w:rStyle w:val="Hyperlink"/>
          </w:rPr>
          <w:t xml:space="preserve">https://csrc.nist.gov/pubs/ai/100/2/e2023/final</w:t>
        </w:r>
      </w:hyperlink>
      <w:r>
        <w:t xml:space="preserve">&gt;.</w:t>
      </w:r>
    </w:p>
    <w:bookmarkEnd w:id="98"/>
    <w:bookmarkStart w:id="100" w:name="ref-RAPP201849"/>
    <w:p>
      <w:pPr>
        <w:pStyle w:val="Bibliography"/>
      </w:pPr>
      <w:r>
        <w:t xml:space="preserve">RAPP, A. et al.</w:t>
      </w:r>
      <w:r>
        <w:t xml:space="preserve"> </w:t>
      </w:r>
      <w:hyperlink r:id="rId99">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00"/>
    <w:bookmarkEnd w:id="101"/>
    <w:bookmarkEnd w:id="102"/>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85" Target="https://api.semanticscholar.org/CorpusID:218539971" TargetMode="External" /><Relationship Type="http://schemas.openxmlformats.org/officeDocument/2006/relationships/hyperlink" Id="rId75" Target="https://api.semanticscholar.org/CorpusID:258259387" TargetMode="External" /><Relationship Type="http://schemas.openxmlformats.org/officeDocument/2006/relationships/hyperlink" Id="rId77" Target="https://arxiv.org/abs/1707.05015" TargetMode="External" /><Relationship Type="http://schemas.openxmlformats.org/officeDocument/2006/relationships/hyperlink" Id="rId97" Target="https://csrc.nist.gov/pubs/ai/100/2/e2023/final" TargetMode="External" /><Relationship Type="http://schemas.openxmlformats.org/officeDocument/2006/relationships/hyperlink" Id="rId71" Target="https://developers.redhat.com/blog/2024/10/25/building-agents-large-language-modelsllms-and-nodejs" TargetMode="External" /><Relationship Type="http://schemas.openxmlformats.org/officeDocument/2006/relationships/hyperlink" Id="rId99" Target="https://doi.org/10.1016/j.ijhcs.2018.07.005" TargetMode="External" /><Relationship Type="http://schemas.openxmlformats.org/officeDocument/2006/relationships/hyperlink" Id="rId83" Target="https://doi.org/10.2196/15360" TargetMode="External" /><Relationship Type="http://schemas.openxmlformats.org/officeDocument/2006/relationships/hyperlink" Id="rId81" Target="https://genai.owasp.org/llmrisk/llm01-prompt-injection" TargetMode="External" /><Relationship Type="http://schemas.openxmlformats.org/officeDocument/2006/relationships/hyperlink" Id="rId73" Target="https://hal.science/hal-04545073" TargetMode="External" /><Relationship Type="http://schemas.openxmlformats.org/officeDocument/2006/relationships/hyperlink" Id="rId95" Target="https://learn.openapis.org/docs/getting-started" TargetMode="External" /><Relationship Type="http://schemas.openxmlformats.org/officeDocument/2006/relationships/hyperlink" Id="rId87" Target="https://modelcontextprotocol.io/introduction" TargetMode="External" /><Relationship Type="http://schemas.openxmlformats.org/officeDocument/2006/relationships/hyperlink" Id="rId93" Target="https://openai.com/index/function-calling-and-other-api-updates/" TargetMode="External" /><Relationship Type="http://schemas.openxmlformats.org/officeDocument/2006/relationships/hyperlink" Id="rId91" Target="https://openai.com/index/gpt-4-research/" TargetMode="External" /><Relationship Type="http://schemas.openxmlformats.org/officeDocument/2006/relationships/hyperlink" Id="rId89" Target="https://openai.com/index/instruction-following/" TargetMode="External" /><Relationship Type="http://schemas.openxmlformats.org/officeDocument/2006/relationships/hyperlink" Id="rId69" Target="https://www.anthropic.com/news/model-context-protocol" TargetMode="External" /><Relationship Type="http://schemas.openxmlformats.org/officeDocument/2006/relationships/hyperlink" Id="rId79"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5" Target="https://api.semanticscholar.org/CorpusID:218539971" TargetMode="External" /><Relationship Type="http://schemas.openxmlformats.org/officeDocument/2006/relationships/hyperlink" Id="rId75" Target="https://api.semanticscholar.org/CorpusID:258259387" TargetMode="External" /><Relationship Type="http://schemas.openxmlformats.org/officeDocument/2006/relationships/hyperlink" Id="rId77" Target="https://arxiv.org/abs/1707.05015" TargetMode="External" /><Relationship Type="http://schemas.openxmlformats.org/officeDocument/2006/relationships/hyperlink" Id="rId97" Target="https://csrc.nist.gov/pubs/ai/100/2/e2023/final" TargetMode="External" /><Relationship Type="http://schemas.openxmlformats.org/officeDocument/2006/relationships/hyperlink" Id="rId71" Target="https://developers.redhat.com/blog/2024/10/25/building-agents-large-language-modelsllms-and-nodejs" TargetMode="External" /><Relationship Type="http://schemas.openxmlformats.org/officeDocument/2006/relationships/hyperlink" Id="rId99" Target="https://doi.org/10.1016/j.ijhcs.2018.07.005" TargetMode="External" /><Relationship Type="http://schemas.openxmlformats.org/officeDocument/2006/relationships/hyperlink" Id="rId83" Target="https://doi.org/10.2196/15360" TargetMode="External" /><Relationship Type="http://schemas.openxmlformats.org/officeDocument/2006/relationships/hyperlink" Id="rId81" Target="https://genai.owasp.org/llmrisk/llm01-prompt-injection" TargetMode="External" /><Relationship Type="http://schemas.openxmlformats.org/officeDocument/2006/relationships/hyperlink" Id="rId73" Target="https://hal.science/hal-04545073" TargetMode="External" /><Relationship Type="http://schemas.openxmlformats.org/officeDocument/2006/relationships/hyperlink" Id="rId95" Target="https://learn.openapis.org/docs/getting-started" TargetMode="External" /><Relationship Type="http://schemas.openxmlformats.org/officeDocument/2006/relationships/hyperlink" Id="rId87" Target="https://modelcontextprotocol.io/introduction" TargetMode="External" /><Relationship Type="http://schemas.openxmlformats.org/officeDocument/2006/relationships/hyperlink" Id="rId93" Target="https://openai.com/index/function-calling-and-other-api-updates/" TargetMode="External" /><Relationship Type="http://schemas.openxmlformats.org/officeDocument/2006/relationships/hyperlink" Id="rId91" Target="https://openai.com/index/gpt-4-research/" TargetMode="External" /><Relationship Type="http://schemas.openxmlformats.org/officeDocument/2006/relationships/hyperlink" Id="rId89" Target="https://openai.com/index/instruction-following/" TargetMode="External" /><Relationship Type="http://schemas.openxmlformats.org/officeDocument/2006/relationships/hyperlink" Id="rId69" Target="https://www.anthropic.com/news/model-context-protocol" TargetMode="External" /><Relationship Type="http://schemas.openxmlformats.org/officeDocument/2006/relationships/hyperlink" Id="rId79"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2025-05-28T06:08:52Z</dcterms:created>
  <dcterms:modified xsi:type="dcterms:W3CDTF">2025-05-28T06:08:52Z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