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74.jpg" ContentType="image/jpeg"/>
  <Override PartName="/word/media/rId39.jpg" ContentType="image/jpeg"/>
  <Override PartName="/word/media/rId33.jpg" ContentType="image/jpeg"/>
  <Override PartName="/word/media/rId42.jpg" ContentType="image/jpeg"/>
  <Override PartName="/word/media/rId62.jpg" ContentType="image/jpeg"/>
  <Override PartName="/word/media/rId48.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ESTUDO COMPARATIVO DE ESTRATÉGIAS DE INTEGRAÇÃO PARA AGENTES CONVERSACIONAIS BASEADOS EM IA EM SOLUÇÕES WEB</w:t>
      </w:r>
    </w:p>
    <w:bookmarkStart w:id="22" w:name="X8e8220cab18ad8eb4e0e76b842421531bf7e362"/>
    <w:p>
      <w:pPr>
        <w:pStyle w:val="Ttulo3"/>
      </w:pPr>
      <w:r>
        <w:t xml:space="preserve">Artigo em produção - Checklist de produção</w:t>
      </w:r>
    </w:p>
    <w:p>
      <w:pPr>
        <w:pStyle w:val="Compact"/>
        <w:numPr>
          <w:ilvl w:val="0"/>
          <w:numId w:val="1001"/>
        </w:numPr>
      </w:pPr>
      <w:r>
        <w:t xml:space="preserve">Edição do artigo</w:t>
      </w:r>
    </w:p>
    <w:p>
      <w:pPr>
        <w:pStyle w:val="Compact"/>
        <w:numPr>
          <w:ilvl w:val="1"/>
          <w:numId w:val="1002"/>
        </w:numPr>
      </w:pPr>
      <w:r>
        <w:t xml:space="preserve">Aplicar formatação da SATC</w:t>
      </w:r>
    </w:p>
    <w:p>
      <w:pPr>
        <w:pStyle w:val="Compact"/>
        <w:numPr>
          <w:ilvl w:val="2"/>
          <w:numId w:val="1003"/>
        </w:numPr>
      </w:pPr>
      <w:r>
        <w:t xml:space="preserve">Definir o template do .docx com o Word</w:t>
      </w:r>
    </w:p>
    <w:p>
      <w:pPr>
        <w:pStyle w:val="Compact"/>
        <w:numPr>
          <w:ilvl w:val="1"/>
          <w:numId w:val="1004"/>
        </w:numPr>
      </w:pPr>
      <w:r>
        <w:t xml:space="preserve">Referências</w:t>
      </w:r>
    </w:p>
    <w:p>
      <w:pPr>
        <w:pStyle w:val="Compact"/>
        <w:numPr>
          <w:ilvl w:val="2"/>
          <w:numId w:val="1005"/>
        </w:numPr>
      </w:pPr>
      <w:r>
        <w:t xml:space="preserve">Formatação ABNT</w:t>
      </w:r>
    </w:p>
    <w:p>
      <w:pPr>
        <w:pStyle w:val="Compact"/>
        <w:numPr>
          <w:ilvl w:val="0"/>
          <w:numId w:val="1006"/>
        </w:numPr>
      </w:pPr>
      <w:r>
        <w:t xml:space="preserve">Escrita</w:t>
      </w:r>
    </w:p>
    <w:p>
      <w:pPr>
        <w:pStyle w:val="Compact"/>
        <w:numPr>
          <w:ilvl w:val="1"/>
          <w:numId w:val="1007"/>
        </w:numPr>
      </w:pPr>
      <w:r>
        <w:t xml:space="preserve">Resumo</w:t>
      </w:r>
    </w:p>
    <w:p>
      <w:pPr>
        <w:pStyle w:val="Compact"/>
        <w:numPr>
          <w:ilvl w:val="1"/>
          <w:numId w:val="1008"/>
        </w:numPr>
      </w:pPr>
      <w:r>
        <w:t xml:space="preserve">Introdução</w:t>
      </w:r>
    </w:p>
    <w:p>
      <w:pPr>
        <w:pStyle w:val="Compact"/>
        <w:numPr>
          <w:ilvl w:val="1"/>
          <w:numId w:val="1009"/>
        </w:numPr>
      </w:pPr>
      <w:r>
        <w:t xml:space="preserve">Material e métodos</w:t>
      </w:r>
    </w:p>
    <w:p>
      <w:pPr>
        <w:pStyle w:val="Compact"/>
        <w:numPr>
          <w:ilvl w:val="1"/>
          <w:numId w:val="1010"/>
        </w:numPr>
      </w:pPr>
      <w:r>
        <w:t xml:space="preserve">Revisão e entrega parcial</w:t>
      </w:r>
    </w:p>
    <w:p>
      <w:pPr>
        <w:pStyle w:val="Compact"/>
        <w:numPr>
          <w:ilvl w:val="1"/>
          <w:numId w:val="1011"/>
        </w:numPr>
      </w:pPr>
      <w:r>
        <w:t xml:space="preserve">Desenvolvimento</w:t>
      </w:r>
    </w:p>
    <w:p>
      <w:pPr>
        <w:pStyle w:val="Compact"/>
        <w:numPr>
          <w:ilvl w:val="1"/>
          <w:numId w:val="1012"/>
        </w:numPr>
      </w:pPr>
      <w:r>
        <w:t xml:space="preserve">Resultados e discussão</w:t>
      </w:r>
    </w:p>
    <w:p>
      <w:pPr>
        <w:pStyle w:val="Compact"/>
        <w:numPr>
          <w:ilvl w:val="1"/>
          <w:numId w:val="1013"/>
        </w:numPr>
      </w:pPr>
      <w:r>
        <w:t xml:space="preserve">Considerações finais</w:t>
      </w:r>
    </w:p>
    <w:p>
      <w:pPr>
        <w:pStyle w:val="Compact"/>
        <w:numPr>
          <w:ilvl w:val="1"/>
          <w:numId w:val="1014"/>
        </w:numPr>
      </w:pPr>
      <w:r>
        <w:t xml:space="preserve">Revisão após finalizar o artigo</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comparativo de abordagens para integração de agentes conversacionais baseados em inteligência artificial a soluções web. São investigadas três estratégias principais: integração via plugin ORM, integração via especificação OpenAPI com o protocolo Model Context Protocol (MCP) e conexão direta com banco de dados. Para garantir uma avaliação justa e reprodutível, foi desenvolvida uma interface de usuário padronizada e definidos critérios objetivos de desempenho, segurança, facilidade de implementação e experiência do usuário. A metodologia inclui revisão sistemática da literatura, fundamentada em referências acadêmicas, guias de segurança (como NIST e OWASP), relatórios de mercado (IBM, Red Hat), documentações oficiais de provedores de modelos de linguagem (OpenAI, Anthropic) e padrões emergentes de integração (como o MCP). O desenvolvimento abrange provas de conceito para cada abordagem e aplicação de testes automatizados end-to-end, com ênfase em métricas de robustez, segurança (incluindo red teaming e injeção de prompts) e usabilidade. O estudo discute os desafios, vantagens e limitações de cada alternativa, fornecendo uma análise fundamentada para orientar a escolha da melhor solução conforme o contexto de aplicação. Os resultados visam contribuir para o avanço da integração segura e eficiente de agentes conversacionais em sistemas complexos, promovendo acessibilidade, usabilidade e confiabilidade.</w:t>
      </w:r>
    </w:p>
    <w:p>
      <w:pPr>
        <w:pStyle w:val="BodyText"/>
      </w:pPr>
      <w:r>
        <w:rPr>
          <w:b/>
          <w:bCs/>
        </w:rPr>
        <w:t xml:space="preserve">Palavras-chave:</w:t>
      </w:r>
      <w:r>
        <w:t xml:space="preserve"> </w:t>
      </w:r>
      <w:r>
        <w:t xml:space="preserve">agente conversacional, integração de sistemas, inteligência artificial, segurança, usabilidade.</w:t>
      </w:r>
    </w:p>
    <w:bookmarkEnd w:id="22"/>
    <w:bookmarkStart w:id="23"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w:t>
      </w:r>
    </w:p>
    <w:p>
      <w:pPr>
        <w:pStyle w:val="BodyText"/>
      </w:pPr>
      <w:r>
        <w:t xml:space="preserve">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w:t>
      </w:r>
    </w:p>
    <w:p>
      <w:pPr>
        <w:pStyle w:val="BodyText"/>
      </w:pPr>
      <w:r>
        <w:t xml:space="preserve">A problemática central desta pesquisa reside na questão: de que forma um agente conversacional baseado em IA pode potencializar a interação entre usuários e sistemas, promovendo uma comunicação fluida mesmo em ambientes com interfaces complexas? Essa pergunta reflete a necessidade crescente de soluções que democratizem o acesso à tecnologia, reduzindo a curva de aprendizado necessária para a utilização de sistemas especializados e tornando-os mais acessíveis para diferentes perfis de usuários.</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3"/>
    <w:bookmarkStart w:id="87" w:name="procedimento-experimental"/>
    <w:p>
      <w:pPr>
        <w:pStyle w:val="Ttulo1"/>
      </w:pPr>
      <w:r>
        <w:t xml:space="preserve">2 PROCEDIMENTO EXPERIMENTAL</w:t>
      </w:r>
    </w:p>
    <w:p>
      <w:pPr>
        <w:pStyle w:val="FirstParagraph"/>
      </w:pPr>
      <w:r>
        <w:t xml:space="preserve">Este trabalho adota uma abordagem metodológica estruturada em múltiplas etapas para investigar e avaliar diferentes métodos de integração entre agentes conversacionais baseados em LLMs (Large Language Models) e soluções web. A pesquisa se desenvolve através de uma análise comparativa de três abordagens distintas de integração, cada uma com suas características, vantagens e limitações específicas.</w:t>
      </w:r>
    </w:p>
    <w:p>
      <w:pPr>
        <w:pStyle w:val="BodyText"/>
      </w:pPr>
      <w:r>
        <w:t xml:space="preserve">Serão exploradas três abordagens principais de integração: (1) integração via plugins ORM, facilitando o acesso a dados através de camadas de abstração existentes; (2) integração via API/Swagger com MCP, utilizando interfaces padronizadas de comunicação e explorando um paradigma emergente de comunicação entre LLMs e o mundo externo; (3) conexão direta com banco de dados, permitindo consultas e manipulações diretas. Para cada abordagem o processo investigativo inicia-se com uma revisão sistemática da literatura sobre o estado da arte de cada abordagem, estabelecendo uma base teórica sólida para a implementação subsequente.</w:t>
      </w:r>
    </w:p>
    <w:p>
      <w:pPr>
        <w:pStyle w:val="BodyText"/>
      </w:pPr>
      <w:r>
        <w:t xml:space="preserve">Para cada abordagem, será desenvolvida uma prova de conceito que demonstre sua viabilidade técnica e permita uma avaliação objetiva de seus aspectos funcionais e não-funcionais. A avaliação seguirá critérios predefinidos, incluindo desempenho, segurança, facilidade de implementação, manutenibilidade e experiência do usuário. Os resultados serão documentados e analisados de forma sistemática, permitindo uma comparação objetiva entre as diferentes abordagens.</w:t>
      </w:r>
    </w:p>
    <w:bookmarkStart w:id="32" w:name="materiais"/>
    <w:p>
      <w:pPr>
        <w:pStyle w:val="Ttulo2"/>
      </w:pPr>
      <w:r>
        <w:t xml:space="preserve">2.1 MATERIAIS</w:t>
      </w:r>
    </w:p>
    <w:p>
      <w:pPr>
        <w:pStyle w:val="FirstParagraph"/>
      </w:pPr>
      <w: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bookmarkStart w:id="24" w:name="X1155c7d9e8fcb7fc4f8470f8237ad2c90301ca3"/>
    <w:p>
      <w:pPr>
        <w:pStyle w:val="Ttulo3"/>
      </w:pPr>
      <w:r>
        <w:t xml:space="preserve">2.1.1 NODE.JS PARA DESENVOLVIMENTO DAS PROVAS DE CONCEITO</w:t>
      </w:r>
    </w:p>
    <w:p>
      <w:pPr>
        <w:pStyle w:val="FirstParagraph"/>
      </w:pPr>
      <w:r>
        <w:t xml:space="preserve">Node.js foi escolhido como plataforma principal para o desenvolvimento das provas de conceito devido à sua comprovada eficácia na integração de sistemas baseados em inteligência artificial (IA), especialmente com agentes conversacionais e Large Language Models (LLMs). A plataforma é amplamente adotada devido à sua arquitetura orientada a eventos e capacidade de gerenciar eficientemente múltiplas conexões simultâneas, essencial para aplicações que exigem respostas rápidas em tempo real</w:t>
      </w:r>
      <w:r>
        <w:t xml:space="preserve"> </w:t>
      </w:r>
      <w:r>
        <w:t xml:space="preserve">(CHEREDNICHENKO et al., 2024)</w:t>
      </w:r>
      <w:r>
        <w:t xml:space="preserve">.</w:t>
      </w:r>
    </w:p>
    <w:p>
      <w:pPr>
        <w:pStyle w:val="BodyText"/>
      </w:pPr>
      <w:r>
        <w:t xml:space="preserve">Relatórios da Red Hat 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w:t>
      </w:r>
      <w:r>
        <w:t xml:space="preserve"> </w:t>
      </w:r>
      <w:r>
        <w:t xml:space="preserve">(BLOG, 2024)</w:t>
      </w:r>
      <w:r>
        <w:t xml:space="preserve">.</w:t>
      </w:r>
    </w:p>
    <w:bookmarkEnd w:id="24"/>
    <w:bookmarkStart w:id="25" w:name="testes-end-to-end-e2e"/>
    <w:p>
      <w:pPr>
        <w:pStyle w:val="Ttulo3"/>
      </w:pPr>
      <w:r>
        <w:t xml:space="preserve">2.1.2 TESTES END-TO-END (E2E)</w:t>
      </w:r>
    </w:p>
    <w:p>
      <w:pPr>
        <w:pStyle w:val="FirstParagraph"/>
      </w:pPr>
      <w:r>
        <w:t xml:space="preserve">O Framework de Gerenciamento de Riscos de IA do NIST</w:t>
      </w:r>
      <w:r>
        <w:t xml:space="preserve"> </w:t>
      </w:r>
      <w:r>
        <w:t xml:space="preserve">(OPREA; VASSILEV, 2023)</w:t>
      </w:r>
      <w:r>
        <w:t xml:space="preserve"> </w:t>
      </w:r>
      <w:r>
        <w:t xml:space="preserve">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pPr>
        <w:pStyle w:val="BodyText"/>
      </w:pPr>
      <w:r>
        <w:t xml:space="preserve">A injeção de prompt representa um risco significativo em implantações de LLMs em nosso cenário, no qual o modelo possui acesso a dados e sistemas potencialmente críticos, incluindo, ocasionalmente, conexões diretas com dados brutos de banco de dados. O guia de riscos da OWASP</w:t>
      </w:r>
      <w:r>
        <w:t xml:space="preserve"> </w:t>
      </w:r>
      <w:r>
        <w:t xml:space="preserve">(JOHN et al., 2025)</w:t>
      </w:r>
      <w:r>
        <w:t xml:space="preserve"> </w:t>
      </w:r>
      <w:r>
        <w:t xml:space="preserve">classifica a injeção de prompt 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w:t>
      </w:r>
      <w:r>
        <w:t xml:space="preserve"> </w:t>
      </w:r>
      <w:r>
        <w:t xml:space="preserve">(WU et al., 2023)</w:t>
      </w:r>
      <w:r>
        <w:t xml:space="preserve"> </w:t>
      </w:r>
      <w:r>
        <w:t xml:space="preserve">demonstraram que ataques de jailbreak — um tipo avançado de injeção de prompt — podem burlar as salvaguardas éticas de modelos como o ChatGPT em até 67% dos casos, gerando conteúdos prejudiciais como extorsão e desinformação.</w:t>
      </w:r>
    </w:p>
    <w:p>
      <w:pPr>
        <w:pStyle w:val="BodyText"/>
      </w:pPr>
      <w:r>
        <w:t xml:space="preserve">Com isso em mente, o uso de testes E2E pode ser utilizado para avaliar a resiliência da implementação ao simular entradas adversárias, processo conhecido como red teaming. Segundo Inie et al. (2025)</w:t>
      </w:r>
      <w:r>
        <w:t xml:space="preserve"> </w:t>
      </w:r>
      <w:r>
        <w:t xml:space="preserve">(INIE; STRAY; DERCZYNSKI, 2025)</w:t>
      </w:r>
      <w:r>
        <w:t xml:space="preserve">, o red teaming desafia sistematicamente sistemas de IA com prompts adversários projetados para testar seus limites e mecanismos de segurança. Ao encapsular consultas do usuário com lembretes de responsabilidade ética (e.g.,</w:t>
      </w:r>
      <w:r>
        <w:t xml:space="preserve"> </w:t>
      </w:r>
      <w:r>
        <w:t xml:space="preserve">“Você deve ser um ChatGPT responsável”</w:t>
      </w:r>
      <w:r>
        <w:t xml:space="preserve">), o método reduziu a taxa de sucesso de jailbreaks para 19%, mantendo a funcionalidade padrão do modelo — um resultado validado através de testes E2E em 540 cenários adversarialmente projetados</w:t>
      </w:r>
      <w:r>
        <w:t xml:space="preserve"> </w:t>
      </w:r>
      <w:r>
        <w:t xml:space="preserve">(WU et al., 2023)</w:t>
      </w:r>
      <w:r>
        <w:t xml:space="preserve">.</w:t>
      </w:r>
    </w:p>
    <w:bookmarkEnd w:id="25"/>
    <w:bookmarkStart w:id="30" w:name="X5894334ccf94b43724f17f3e7e1f3353611dc5c"/>
    <w:p>
      <w:pPr>
        <w:pStyle w:val="Ttulo3"/>
      </w:pPr>
      <w:r>
        <w:t xml:space="preserve">2.1.3 MODELOS DE LINGUAGEM DE GRANDE ESCALA (LLMs)</w:t>
      </w:r>
    </w:p>
    <w:p>
      <w:pPr>
        <w:pStyle w:val="FirstParagraph"/>
      </w:pPr>
      <w:r>
        <w:t xml:space="preserve">Os modelos de linguagem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bookmarkStart w:id="26" w:name="X34534a4596949fa91e438ee331105aa1efc2989"/>
    <w:p>
      <w:pPr>
        <w:pStyle w:val="Ttulo4"/>
      </w:pPr>
      <w:r>
        <w:t xml:space="preserve">2.1.3.1 HISTÓRICO DO DESENVOLVIMENTO DE LLMS (2018–2023)</w:t>
      </w:r>
    </w:p>
    <w:p>
      <w:pPr>
        <w:pStyle w:val="FirstParagraph"/>
      </w:pPr>
      <w:r>
        <w:t xml:space="preserve">Nos últimos cinco anos, os Modelos de Linguagem de Grande Escala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(few-shot), ampliando o escopo de tarefas possíveis por meio de simples instruções em linguagem natural</w:t>
      </w:r>
      <w:r>
        <w:t xml:space="preserve"> </w:t>
      </w:r>
      <w:r>
        <w:t xml:space="preserve">(BROWN et al., 2020)</w:t>
      </w:r>
      <w:r>
        <w:t xml:space="preserve">.</w:t>
      </w:r>
    </w:p>
    <w:p>
      <w:pPr>
        <w:pStyle w:val="BodyText"/>
      </w:pPr>
      <w:r>
        <w:t xml:space="preserve">A partir de 2022, o foco da pesquisa passou a ser o aprimoramento do raciocínio e alinhamento dos LLMs. Técnicas como Chain-of-Thought prompting permitiram que os modelos resolvessem problemas complexos de forma mais eficaz</w:t>
      </w:r>
      <w:r>
        <w:t xml:space="preserve"> </w:t>
      </w:r>
      <w:r>
        <w:t xml:space="preserve">(WEI et al., 2023)</w:t>
      </w:r>
      <w:r>
        <w:t xml:space="preserve">.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w:t>
      </w:r>
      <w:r>
        <w:t xml:space="preserve"> </w:t>
      </w:r>
      <w:r>
        <w:t xml:space="preserve">(OPENAI, 2022)</w:t>
      </w:r>
      <w:r>
        <w:t xml:space="preserve">.</w:t>
      </w:r>
    </w:p>
    <w:bookmarkEnd w:id="26"/>
    <w:bookmarkStart w:id="27" w:name="extensão-de-janela-de-contexto"/>
    <w:p>
      <w:pPr>
        <w:pStyle w:val="Ttulo4"/>
      </w:pPr>
      <w:r>
        <w:t xml:space="preserve">2.1.3.2 EXTENSÃO DE JANELA DE CONTEXTO</w:t>
      </w:r>
    </w:p>
    <w:p>
      <w:pPr>
        <w:pStyle w:val="FirstParagraph"/>
      </w:pPr>
      <w:r>
        <w:t xml:space="preserve">Com o avanço dos modelos, observou-se uma tendência significativa no aumento das janelas de contexto — a quantidade de tokens que um LLM pode processar em uma única interação. Modelos como o Claude 3 já alcançam até 100.000 tokens</w:t>
      </w:r>
      <w:r>
        <w:t xml:space="preserve"> </w:t>
      </w:r>
      <w:r>
        <w:t xml:space="preserve">(ANTHROPIC, 2024a)</w:t>
      </w:r>
      <w:r>
        <w:t xml:space="preserve">, enquanto versões estendidas do GPT-4 suportam até 32.000 tokens</w:t>
      </w:r>
      <w:r>
        <w:t xml:space="preserve"> </w:t>
      </w:r>
      <w:r>
        <w:t xml:space="preserve">(OPENAI, 2023a)</w:t>
      </w:r>
      <w:r>
        <w:t xml:space="preserve">.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pPr>
        <w:pStyle w:val="BodyText"/>
      </w:pPr>
      <w: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w:t>
      </w:r>
      <w:r>
        <w:t xml:space="preserve"> </w:t>
      </w:r>
      <w:r>
        <w:t xml:space="preserve">(ANTHROPIC, 2024a; OPENAI, 2023a)</w:t>
      </w:r>
      <w:r>
        <w:t xml:space="preserve">.</w:t>
      </w:r>
    </w:p>
    <w:bookmarkEnd w:id="27"/>
    <w:bookmarkStart w:id="28" w:name="X4b8ba6b8c7c7c760c7145affc949360e91a6b71"/>
    <w:p>
      <w:pPr>
        <w:pStyle w:val="Ttulo4"/>
      </w:pPr>
      <w:r>
        <w:t xml:space="preserve">2.1.3.3 RACIOCÍNIO APRIMORADO E COMPREENSÃO PROFUNDA (DEEP THINKING)</w:t>
      </w:r>
    </w:p>
    <w:p>
      <w:pPr>
        <w:pStyle w:val="FirstParagraph"/>
      </w:pPr>
      <w:r>
        <w:t xml:space="preserve">Os LLMs mais recentes apresentam avanços significativos em raciocínio, planejamento e resolução de tarefas complexas. Técnicas como o Chain-of-Thought prompting, que induz os modelos a pensar em etapas intermediárias, mostraram ganhos substanciais em tarefas que exigem múltiplos passos lógicos</w:t>
      </w:r>
      <w:r>
        <w:t xml:space="preserve"> </w:t>
      </w:r>
      <w:r>
        <w:t xml:space="preserve">(WEI et al., 2023)</w:t>
      </w:r>
      <w:r>
        <w:t xml:space="preserve">. Além disso, abordagens como tree-of-thought e self-reflection permitem que os modelos reavaliem suas respostas e melhorem sua própria performance iterativamente. Esses avanços tornam os LLMs mais confiáveis para tarefas que exigem raciocínio profundo e tomada de decisão estruturada, fundamentais para integração com sistemas complexos</w:t>
      </w:r>
      <w:r>
        <w:t xml:space="preserve"> </w:t>
      </w:r>
      <w:r>
        <w:t xml:space="preserve">(YAO et al., 2023)</w:t>
      </w:r>
      <w:r>
        <w:t xml:space="preserve">.</w:t>
      </w:r>
    </w:p>
    <w:bookmarkEnd w:id="28"/>
    <w:bookmarkStart w:id="29" w:name="Xf917097deed24cf0ab45199cb93af37875566f7"/>
    <w:p>
      <w:pPr>
        <w:pStyle w:val="Ttulo4"/>
      </w:pPr>
      <w:r>
        <w:t xml:space="preserve">2.1.3.4 USO DE FERRAMENTAS EM TEMPO REAL E INTERAÇÃO COM SISTEMAS</w:t>
      </w:r>
    </w:p>
    <w:p>
      <w:pPr>
        <w:pStyle w:val="FirstParagraph"/>
      </w:pPr>
      <w:r>
        <w:t xml:space="preserve">O avanço dos LLMs em ambientes de produção foi impulsionado por recursos como o function calling da OpenAI. Essa funcionalidade permite que os modelos interpretem solicitações em linguagem natural e as convertam em chamadas de funções estruturadas, conforme definido pelo desenvolvedor. Por exemplo, ao receber uma instrução como</w:t>
      </w:r>
      <w:r>
        <w:t xml:space="preserve"> </w:t>
      </w:r>
      <w:r>
        <w:t xml:space="preserve">“agende uma reunião para amanhã às 14h”</w:t>
      </w:r>
      <w:r>
        <w:t xml:space="preserve">, o modelo pode gerar uma chamada de função com os parâmetros apropriados para interagir com uma API de calendário, sem depender de engenharia de prompt ou extração de texto</w:t>
      </w:r>
      <w:r>
        <w:t xml:space="preserve"> </w:t>
      </w:r>
      <w:r>
        <w:t xml:space="preserve">(OPENAI, 2023b)</w:t>
      </w:r>
      <w:r>
        <w:t xml:space="preserve">. Essa abordagem, melhora significativamente a confiabilidade em cenários de integração, permitindo que o modelo obtenha dados estruturados de bancos de dados, chame APIs de negócios, envie e-mails, entre outras ações, em vez de apenas tentar adivinhar a resposta</w:t>
      </w:r>
      <w:r>
        <w:t xml:space="preserve"> </w:t>
      </w:r>
      <w:r>
        <w:t xml:space="preserve">(OPENAI, 2023b)</w:t>
      </w:r>
      <w:r>
        <w:t xml:space="preserve">.</w:t>
      </w:r>
    </w:p>
    <w:p>
      <w:pPr>
        <w:pStyle w:val="BodyText"/>
      </w:pPr>
      <w:r>
        <w:t xml:space="preserve">Complementando essa capacidade, o Model Context Protocol (MCP), desenvolvido pela Anthropic</w:t>
      </w:r>
      <w:r>
        <w:t xml:space="preserve"> </w:t>
      </w:r>
      <w:r>
        <w:t xml:space="preserve">(ANTHROPIC, 2024b; MODEL CONTEXT PROTOCOL TEAM, 2025)</w:t>
      </w:r>
      <w:r>
        <w:t xml:space="preserve">, oferece um padrão aberto para conectar LLMs a diversas fontes de dados e ferramentas. O MCP estabelece uma arquitetura cliente-servidor onde os modelos (clientes) podem acessar servidores MCP que expõem recursos, prompts e ferramentas de forma padronizada. Isso elimina a necessidade de integrações personalizadas para cada fonte de dados, promovendo uma interoperabilidade mais ampla e sustentável.</w:t>
      </w:r>
    </w:p>
    <w:bookmarkEnd w:id="29"/>
    <w:bookmarkEnd w:id="30"/>
    <w:bookmarkStart w:id="31" w:name="ferramentas-específicas-de-integração"/>
    <w:p>
      <w:pPr>
        <w:pStyle w:val="Ttulo3"/>
      </w:pPr>
      <w:r>
        <w:t xml:space="preserve">2.1.4 FERRAMENTAS ESPECÍFICAS DE INTEGRAÇÃO</w:t>
      </w:r>
    </w:p>
    <w:p>
      <w:pPr>
        <w:pStyle w:val="FirstParagraph"/>
      </w:pPr>
      <w:r>
        <w:t xml:space="preserve">A pesquisa investigou quatro abordagens distintas para a integração dos agentes conversacionais com soluções web, utilizando ferramentas específicas para cada uma:</w:t>
      </w:r>
    </w:p>
    <w:p>
      <w:pPr>
        <w:numPr>
          <w:ilvl w:val="0"/>
          <w:numId w:val="1015"/>
        </w:numPr>
      </w:pPr>
      <w:r>
        <w:rPr>
          <w:b/>
          <w:bCs/>
        </w:rPr>
        <w:t xml:space="preserve">PostgreSQL para Conexão Direta com Banco de Dados:</w:t>
      </w:r>
      <w:r>
        <w:t xml:space="preserve"> </w:t>
      </w:r>
      <w:r>
        <w:t xml:space="preserve">foi escolhido para a conexão direta com banco de dados devido à sua ampla adoção e aceitação pela comunidade de desenvolvedores, evidenciada pela pesquisa do Stack Overflow Developer Survey, onde apareceu como o banco de dados mais admirado e desejado por desenvolvedores em 2023</w:t>
      </w:r>
      <w:r>
        <w:t xml:space="preserve"> </w:t>
      </w:r>
      <w:r>
        <w:t xml:space="preserve">(ENTERPRISEDB, 2023a)</w:t>
      </w:r>
      <w:r>
        <w:t xml:space="preserve">. Além disso, décadas de desenvolvimento ativo e testes rigorosos pela comunidade garantem ao PostgreSQL uma reputação sólida em termos de integridade dos dados e tolerância a falhas. Assim, utilizar PostgreSQL assegura que os dados do agente conversacional sejam gerenciados por uma infraestrutura confiável, escalável e amplamente reconhecida pela indústria, com vasto suporte operacional disponível</w:t>
      </w:r>
      <w:r>
        <w:t xml:space="preserve"> </w:t>
      </w:r>
      <w:r>
        <w:t xml:space="preserve">(ENTERPRISEDB, 2023a, 2023b)</w:t>
      </w:r>
      <w:r>
        <w:t xml:space="preserve">.</w:t>
      </w:r>
    </w:p>
    <w:p>
      <w:pPr>
        <w:numPr>
          <w:ilvl w:val="0"/>
          <w:numId w:val="1015"/>
        </w:numPr>
      </w:pPr>
      <w:r>
        <w:rPr>
          <w:b/>
          <w:bCs/>
        </w:rPr>
        <w:t xml:space="preserve">Sequelize para Integração via ORM:</w:t>
      </w:r>
      <w:r>
        <w:t xml:space="preserve"> </w:t>
      </w:r>
      <w:r>
        <w:t xml:space="preserve">Este ORM foi selecionado como ferramenta ORM devido ao seu amplo uso em aplicações Node.js, sendo uma das bibliotecas mais populares para gerenciamento de banco de dados nessa plataforma, com cerca de 27 mil estrelas no GitHub e mais de meio milhão de repositórios que o utilizam</w:t>
      </w:r>
      <w:r>
        <w:t xml:space="preserve"> </w:t>
      </w:r>
      <w:r>
        <w:t xml:space="preserve">(TEAM, 2024)</w:t>
      </w:r>
      <w:r>
        <w:t xml:space="preserve">. Empresas reconhecidas, como PayPal e Red Hat, utilizam Sequelize em produção, reforçando sua credibilidade e robustez. Além disso, o uso de Sequelize proporciona segurança adicional ao prevenir automaticamente ataques de SQL injection por meio de queries parametrizadas, oferecendo também suporte para caches e consultas em SQL bruto quando necessário, equilibrando segurança com flexibilidade e desempenho</w:t>
      </w:r>
      <w:r>
        <w:t xml:space="preserve"> </w:t>
      </w:r>
      <w:r>
        <w:t xml:space="preserve">(TEAM, 2023)</w:t>
      </w:r>
      <w:r>
        <w:t xml:space="preserve">.</w:t>
      </w:r>
    </w:p>
    <w:p>
      <w:pPr>
        <w:numPr>
          <w:ilvl w:val="0"/>
          <w:numId w:val="1015"/>
        </w:numPr>
      </w:pPr>
      <w:r>
        <w:rPr>
          <w:b/>
          <w:bCs/>
        </w:rPr>
        <w:t xml:space="preserve">OpenAPI para Integração com Swagger:</w:t>
      </w:r>
      <w:r>
        <w:t xml:space="preserve"> </w:t>
      </w:r>
      <w:r>
        <w:t xml:space="preserve">foi selecionado devido à sua ampla adoção como padrão da indústria para definição de interfaces RESTful,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w:t>
      </w:r>
      <w:r>
        <w:t xml:space="preserve"> </w:t>
      </w:r>
      <w:r>
        <w:t xml:space="preserve">(OPENAPI INITIATIVE, 2023; THE POSTMAN TEAM, 2023)</w:t>
      </w:r>
      <w:r>
        <w:t xml:space="preserve">.</w:t>
      </w:r>
    </w:p>
    <w:p>
      <w:pPr>
        <w:pStyle w:val="FirstParagraph"/>
      </w:pPr>
      <w: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w:t>
      </w:r>
      <w:r>
        <w:t xml:space="preserve"> </w:t>
      </w:r>
      <w:r>
        <w:t xml:space="preserve">(OPENAI, 2023c)</w:t>
      </w:r>
      <w:r>
        <w:t xml:space="preserve">.</w:t>
      </w:r>
    </w:p>
    <w:p>
      <w:pPr>
        <w:pStyle w:val="Compact"/>
        <w:numPr>
          <w:ilvl w:val="0"/>
          <w:numId w:val="1016"/>
        </w:numPr>
      </w:pPr>
      <w:r>
        <w:rPr>
          <w:b/>
          <w:bCs/>
        </w:rPr>
        <w:t xml:space="preserve">Model Context Protocol (MCP):</w:t>
      </w:r>
      <w:r>
        <w:t xml:space="preserve"> </w:t>
      </w:r>
      <w:r>
        <w:t xml:space="preserve">é um padrão aberto emergente para integração entre agentes de IA e sistemas externos, com o objetivo de padronizar como modelos acessam dados, serviços e ferramentas. Ele fornece uma arquitetura clara baseada em clientes e servidores, permitindo que agentes conversem com fontes externas de forma segura, modular e escalável. Desde seu lançamento aberto, no final de novembro de 2024, o protocolo ganhou tração significativa com a criação de diversos servidores prontos para PostgreSQL, GitHub, Slack, entre outros, além de SDKs em múltiplas linguagens</w:t>
      </w:r>
      <w:r>
        <w:t xml:space="preserve"> </w:t>
      </w:r>
      <w:r>
        <w:t xml:space="preserve">(ANTHROPIC, 2024c; MODEL CONTEXT PROTOCOL CONTRIBUTORS, 2024)</w:t>
      </w:r>
      <w:r>
        <w:t xml:space="preserve">.</w:t>
      </w:r>
    </w:p>
    <w:p>
      <w:pPr>
        <w:pStyle w:val="FirstParagraph"/>
      </w:pPr>
      <w:r>
        <w:t xml:space="preserve">A adoção crescente é impulsionada pela comunidade ativa, o que demonstra o potencial do MCP como um padrão de integração para sistemas baseados em LLMs. Sua proposta de</w:t>
      </w:r>
      <w:r>
        <w:t xml:space="preserve"> </w:t>
      </w:r>
      <w:r>
        <w:t xml:space="preserve">‘porta universal’</w:t>
      </w:r>
      <w:r>
        <w:t xml:space="preserve"> </w:t>
      </w:r>
      <w:r>
        <w:t xml:space="preserve">para conectar agentes a ferramentas oferece flexibilidade e segurança: características fundamentais quando agentes com poder de raciocínio, como LLMs, precisam acessar recursos sensíveis de forma controlada e auditável</w:t>
      </w:r>
      <w:r>
        <w:t xml:space="preserve"> </w:t>
      </w:r>
      <w:r>
        <w:t xml:space="preserve">(ANTHROPIC, 2024c)</w:t>
      </w:r>
      <w:r>
        <w:t xml:space="preserve">.</w:t>
      </w:r>
    </w:p>
    <w:bookmarkEnd w:id="31"/>
    <w:bookmarkEnd w:id="32"/>
    <w:bookmarkStart w:id="47" w:name="métodos"/>
    <w:p>
      <w:pPr>
        <w:pStyle w:val="Ttulo2"/>
      </w:pPr>
      <w:r>
        <w:t xml:space="preserve">2.2 MÉTODOS</w:t>
      </w:r>
    </w:p>
    <w:p>
      <w:pPr>
        <w:pStyle w:val="FirstParagraph"/>
      </w:pPr>
      <w:r>
        <w:t xml:space="preserve">Para assegurar a rigorosidade científica e garantir a reprodutibilidade dos experimentos conduzidos neste estudo, foi desenvolvida uma interface padrão comum para avaliar todas as abordagens de integração. Essa padronização viabiliza uma comparação justa e objetiva entre as implementações, minimizando variáveis relacionadas à interface que poderiam interferir nos resultados finais.</w:t>
      </w:r>
    </w:p>
    <w:bookmarkStart w:id="38" w:name="interface-comum-de-usuário"/>
    <w:p>
      <w:pPr>
        <w:pStyle w:val="Ttulo3"/>
      </w:pPr>
      <w:r>
        <w:t xml:space="preserve">2.2.1 Interface Comum de Usuário</w:t>
      </w:r>
    </w:p>
    <w:p>
      <w:pPr>
        <w:pStyle w:val="FirstParagraph"/>
      </w:pPr>
      <w:r>
        <w:t xml:space="preserve">A interface comum consiste em uma aplicação web simples de chat, desenvolvida utilizando React.js e TypeScript. A interface foi projetada de forma minimalista, visando uma experiência consistente e objetiva, independentemente da abordagem de integração utilizada.</w:t>
      </w:r>
    </w:p>
    <w:p>
      <w:pPr>
        <w:pStyle w:val="CaptionedFigure"/>
      </w:pPr>
      <w:r>
        <w:drawing>
          <wp:inline>
            <wp:extent cx="5753100" cy="3234807"/>
            <wp:effectExtent b="0" l="0" r="0" t="0"/>
            <wp:docPr descr="Interface do Usuário" title="" id="34" name="Picture"/>
            <a:graphic>
              <a:graphicData uri="http://schemas.openxmlformats.org/drawingml/2006/picture">
                <pic:pic>
                  <pic:nvPicPr>
                    <pic:cNvPr descr="images/metodos/user-interface.jpg" id="35" name="Picture"/>
                    <pic:cNvPicPr>
                      <a:picLocks noChangeArrowheads="1" noChangeAspect="1"/>
                    </pic:cNvPicPr>
                  </pic:nvPicPr>
                  <pic:blipFill>
                    <a:blip r:embed="rId33"/>
                    <a:stretch>
                      <a:fillRect/>
                    </a:stretch>
                  </pic:blipFill>
                  <pic:spPr bwMode="auto">
                    <a:xfrm>
                      <a:off x="0" y="0"/>
                      <a:ext cx="5753100" cy="3234807"/>
                    </a:xfrm>
                    <a:prstGeom prst="rect">
                      <a:avLst/>
                    </a:prstGeom>
                    <a:noFill/>
                    <a:ln w="9525">
                      <a:noFill/>
                      <a:headEnd/>
                      <a:tailEnd/>
                    </a:ln>
                  </pic:spPr>
                </pic:pic>
              </a:graphicData>
            </a:graphic>
          </wp:inline>
        </w:drawing>
      </w:r>
    </w:p>
    <w:p>
      <w:pPr>
        <w:pStyle w:val="ImageCaption"/>
      </w:pPr>
      <w:r>
        <w:t xml:space="preserve">Interface do Usuário</w:t>
      </w:r>
    </w:p>
    <w:bookmarkStart w:id="36"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 prompts de maneira contínua e intuitiva.</w:t>
      </w:r>
    </w:p>
    <w:bookmarkEnd w:id="36"/>
    <w:bookmarkStart w:id="37" w:name="comunicação-com-backend"/>
    <w:p>
      <w:pPr>
        <w:pStyle w:val="Ttulo4"/>
      </w:pPr>
      <w:r>
        <w:t xml:space="preserve">2.2.1.2 Comunicação com Backend</w:t>
      </w:r>
    </w:p>
    <w:p>
      <w:pPr>
        <w:pStyle w:val="FirstParagraph"/>
      </w:pPr>
      <w:r>
        <w:t xml:space="preserve">A comunicação entre frontend e backend será estabelecida por meio de uma API REST síncrona, simplificando o processo de envio e retorno de mensagens. Cada consulta feita pelo usuário gerará uma única requisição ao backend que processará integralmente essa requisição utilizando um modelo de linguagem (LLM) e devolverá uma resposta após concluir o processamento, mantendo o fluxo de comunicação claro e previsível.</w:t>
      </w:r>
    </w:p>
    <w:bookmarkEnd w:id="37"/>
    <w:bookmarkEnd w:id="38"/>
    <w:bookmarkStart w:id="45" w:name="X8858c5d1dfec540aebbe0116f67eb089703781f"/>
    <w:p>
      <w:pPr>
        <w:pStyle w:val="Ttulo3"/>
      </w:pPr>
      <w:r>
        <w:t xml:space="preserve">2.2.2 Arquitetura e Fluxo de Integração do Sistema</w:t>
      </w:r>
    </w:p>
    <w:p>
      <w:pPr>
        <w:pStyle w:val="FirstParagraph"/>
      </w:pPr>
      <w:r>
        <w:t xml:space="preserve">A arquitetura do sistema que será desenvolvida para este estudo envolverá múltiplas camadas que trabalharão de forma integrada para responder às consultas feitas pelo usuário em linguagem natural. Inicialmente, as consultas serão recebidas pela interface web e encaminhadas ao backend, onde o modelo de linguagem executará o processo de análise e interpretação.</w:t>
      </w:r>
    </w:p>
    <w:p>
      <w:pPr>
        <w:pStyle w:val="CaptionedFigure"/>
      </w:pPr>
      <w:r>
        <w:drawing>
          <wp:inline>
            <wp:extent cx="5753100" cy="3975170"/>
            <wp:effectExtent b="0" l="0" r="0" t="0"/>
            <wp:docPr descr="Arquitetura do Sistema" title="" id="40" name="Picture"/>
            <a:graphic>
              <a:graphicData uri="http://schemas.openxmlformats.org/drawingml/2006/picture">
                <pic:pic>
                  <pic:nvPicPr>
                    <pic:cNvPr descr="images/metodos/system-architecture.jpg" id="41" name="Picture"/>
                    <pic:cNvPicPr>
                      <a:picLocks noChangeArrowheads="1" noChangeAspect="1"/>
                    </pic:cNvPicPr>
                  </pic:nvPicPr>
                  <pic:blipFill>
                    <a:blip r:embed="rId39"/>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w:t>
      </w:r>
    </w:p>
    <w:p>
      <w:pPr>
        <w:pStyle w:val="BodyText"/>
      </w:pPr>
      <w:r>
        <w:t xml:space="preserve">O fluxo completo de interação deverá ocorrer da seguinte maneira: ao receber uma consulta, o modelo de linguagem interpretará a intenção do usuário e gerará uma requisição estruturada que será validada antes de ser enviada à camada de integração. Essa camada utilizará diferentes abordagens (ORM, MCP ou conexão direta com o banco de dados) para acessar sistemas backend, como modelos de dados, APIs externas ou bancos de dados diretamente.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o Agente" title="" id="43" name="Picture"/>
            <a:graphic>
              <a:graphicData uri="http://schemas.openxmlformats.org/drawingml/2006/picture">
                <pic:pic>
                  <pic:nvPicPr>
                    <pic:cNvPr descr="images/metodos/workflow-integration.jpg" id="44" name="Picture"/>
                    <pic:cNvPicPr>
                      <a:picLocks noChangeArrowheads="1" noChangeAspect="1"/>
                    </pic:cNvPicPr>
                  </pic:nvPicPr>
                  <pic:blipFill>
                    <a:blip r:embed="rId42"/>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do Agente</w:t>
      </w:r>
    </w:p>
    <w:bookmarkEnd w:id="45"/>
    <w:bookmarkStart w:id="46" w:name="coleta-de-métricas-via-testes-e2e"/>
    <w:p>
      <w:pPr>
        <w:pStyle w:val="Ttulo3"/>
      </w:pPr>
      <w:r>
        <w:t xml:space="preserve">2.2.3 Coleta de Métricas via Testes E2E</w:t>
      </w:r>
    </w:p>
    <w:p>
      <w:pPr>
        <w:pStyle w:val="FirstParagraph"/>
      </w:pPr>
      <w:r>
        <w:t xml:space="preserve">Testes End-to-End (E2E) são essenciais para avaliar não apenas o desempenho e a segurança, mas também a experiência geral do usuário com sistemas integrados a LLMs. Os testes são automatizados, executados regularmente em ambiente controlado para assegurar resultados consistentes e comparáveis.</w:t>
      </w:r>
    </w:p>
    <w:p>
      <w:pPr>
        <w:pStyle w:val="BodyText"/>
      </w:pPr>
      <w:r>
        <w:t xml:space="preserve">Os testes envolvem:</w:t>
      </w:r>
      <w:r>
        <w:t xml:space="preserve"> </w:t>
      </w:r>
      <w:r>
        <w:t xml:space="preserve">- Avaliação detalhada da performance, incluindo tempos totais de resposta, tempo específico do processamento pelo modelo de linguagem e latência da rede.</w:t>
      </w:r>
      <w:r>
        <w:t xml:space="preserve"> </w:t>
      </w:r>
      <w:r>
        <w:t xml:space="preserve">- Análise da confiabilidade através da taxa de sucesso das requisições e frequência de erros críticos e não críticos.</w:t>
      </w:r>
      <w:r>
        <w:t xml:space="preserve"> </w:t>
      </w:r>
      <w:r>
        <w:t xml:space="preserve">- Avaliação de segurança utilizando técnicas de Red Team, incluindo a tentativa sistemática de exploração de vulnerabilidades com injeção de prompts e validação dos controles de acesso.</w:t>
      </w:r>
      <w:r>
        <w:t xml:space="preserve"> </w:t>
      </w:r>
      <w:r>
        <w:t xml:space="preserve">- Mensuração da experiência do usuário, utilizando avaliações qualitativas da clareza das respostas e pesquisas estruturadas de satisfação com escalas Likert.</w:t>
      </w:r>
    </w:p>
    <w:p>
      <w:pPr>
        <w:pStyle w:val="BodyText"/>
      </w:pPr>
      <w:r>
        <w:t xml:space="preserve">Os testes E2E são executados de forma automatizada em ambientes controlados, simulando diferentes cenários de uso e condições de carga, permitindo uma avaliação objetiva e reproduzível de cada abordagem de integração.</w:t>
      </w:r>
    </w:p>
    <w:p>
      <w:pPr>
        <w:pStyle w:val="BodyText"/>
      </w:pPr>
      <w:r>
        <w:t xml:space="preserve">Esta padronização da coleta de métricas via testes E2E garante que as diferenças observadas entre as abordagens sejam resultado direto das suas características de implementação, e não de variações na experiência do usuário ou na forma de coleta de dados.</w:t>
      </w:r>
    </w:p>
    <w:p>
      <w:pPr>
        <w:pStyle w:val="BodyText"/>
      </w:pPr>
      <w:r>
        <w:t xml:space="preserve">Em seguida, os testes são executados automaticamente, variando desde consultas simples até cenários complexos e ataques adversários simulados. As métricas obtidas são automaticamente registradas para garantir uma coleta padronizada e confiável dos dados. Finalmente, uma análise automatizada gera relatórios detalhados, permitindo uma comparação objetiva e precisa entre as diferentes abordagens implementadas.</w:t>
      </w:r>
    </w:p>
    <w:bookmarkEnd w:id="46"/>
    <w:bookmarkEnd w:id="47"/>
    <w:bookmarkStart w:id="86" w:name="desenvolvimento"/>
    <w:p>
      <w:pPr>
        <w:pStyle w:val="Ttulo2"/>
      </w:pPr>
      <w:r>
        <w:t xml:space="preserve">3. DESENVOLVIMENTO</w:t>
      </w:r>
    </w:p>
    <w:bookmarkStart w:id="61" w:name="integração-via-plugin-orm"/>
    <w:p>
      <w:pPr>
        <w:pStyle w:val="Ttulo3"/>
      </w:pPr>
      <w:r>
        <w:t xml:space="preserve">3.1 Integração via Plugin ORM</w:t>
      </w:r>
    </w:p>
    <w:p>
      <w:pPr>
        <w:pStyle w:val="FirstParagraph"/>
      </w:pPr>
      <w:r>
        <w:t xml:space="preserve">A primeira abordagem investigada consiste na implementação de um plugin ORM que permite ao LLM interagir com o sistema através das camadas de abstração do ORM. Esta seção detalha a arquitetura, implementação e considerações práticas desta solução.</w:t>
      </w:r>
    </w:p>
    <w:bookmarkStart w:id="51" w:name="arquitetura-da-solução"/>
    <w:p>
      <w:pPr>
        <w:pStyle w:val="Ttulo4"/>
      </w:pPr>
      <w:r>
        <w:t xml:space="preserve">3.1.1 Arquitetura da Solução</w:t>
      </w:r>
    </w:p>
    <w:p>
      <w:pPr>
        <w:pStyle w:val="FirstParagraph"/>
      </w:pPr>
      <w:r>
        <w:t xml:space="preserve">A arquitetura proposta para esta abordagem é composta por quatro componentes principais: interface do usuário, serviço LLM, plugin ORM e o banco de dados. A Figura X ilustra a arquitetura e o fluxo de comunicação entre estes componentes.</w:t>
      </w:r>
    </w:p>
    <w:p>
      <w:pPr>
        <w:pStyle w:val="CaptionedFigure"/>
      </w:pPr>
      <w:r>
        <w:drawing>
          <wp:inline>
            <wp:extent cx="5753100" cy="1731732"/>
            <wp:effectExtent b="0" l="0" r="0" t="0"/>
            <wp:docPr descr="ORM - Diagrama da Arquitetura" title="" id="49" name="Picture"/>
            <a:graphic>
              <a:graphicData uri="http://schemas.openxmlformats.org/drawingml/2006/picture">
                <pic:pic>
                  <pic:nvPicPr>
                    <pic:cNvPr descr="images/orm/orm-diagram-approach.jpg" id="50" name="Picture"/>
                    <pic:cNvPicPr>
                      <a:picLocks noChangeArrowheads="1" noChangeAspect="1"/>
                    </pic:cNvPicPr>
                  </pic:nvPicPr>
                  <pic:blipFill>
                    <a:blip r:embed="rId48"/>
                    <a:stretch>
                      <a:fillRect/>
                    </a:stretch>
                  </pic:blipFill>
                  <pic:spPr bwMode="auto">
                    <a:xfrm>
                      <a:off x="0" y="0"/>
                      <a:ext cx="5753100" cy="1731732"/>
                    </a:xfrm>
                    <a:prstGeom prst="rect">
                      <a:avLst/>
                    </a:prstGeom>
                    <a:noFill/>
                    <a:ln w="9525">
                      <a:noFill/>
                      <a:headEnd/>
                      <a:tailEnd/>
                    </a:ln>
                  </pic:spPr>
                </pic:pic>
              </a:graphicData>
            </a:graphic>
          </wp:inline>
        </w:drawing>
      </w:r>
    </w:p>
    <w:p>
      <w:pPr>
        <w:pStyle w:val="ImageCaption"/>
      </w:pPr>
      <w:r>
        <w:t xml:space="preserve">ORM - Diagrama da Arquitetura</w:t>
      </w:r>
    </w:p>
    <w:p>
      <w:pPr>
        <w:pStyle w:val="BodyText"/>
      </w:pPr>
      <w:r>
        <w:t xml:space="preserve">O fluxo de comunicação se inicia com uma solicitação do usuário em linguagem natural, que é processada pelo LLM. O modelo, tendo conhecimento prévio dos modelos e relacionamentos definidos no ORM, gera instruções de consulta utilizando a API do ORM. Estas instruções são executadas através do plugin, que utiliza o ORM para realizar as operações no banco de dados de forma segura e otimizada.</w:t>
      </w:r>
    </w:p>
    <w:p>
      <w:pPr>
        <w:pStyle w:val="BodyText"/>
      </w:pPr>
      <w:r>
        <w:t xml:space="preserve">Em casos mais complexos, o sistema pode realizar múltiplas operações encadeadas, aproveitando os relacionamentos e métodos definidos nos modelos do ORM para obter dados relacionados e realizar análises mais complexas.</w:t>
      </w:r>
    </w:p>
    <w:bookmarkEnd w:id="51"/>
    <w:bookmarkStart w:id="52" w:name="componentes-de-segurança"/>
    <w:p>
      <w:pPr>
        <w:pStyle w:val="Ttulo4"/>
      </w:pPr>
      <w:r>
        <w:t xml:space="preserve">3.1.2 Componentes de Segurança</w:t>
      </w:r>
    </w:p>
    <w:p>
      <w:pPr>
        <w:pStyle w:val="FirstParagraph"/>
      </w:pPr>
      <w:r>
        <w:t xml:space="preserve">A implementação inclui camadas de segurança essenciais:</w:t>
      </w:r>
    </w:p>
    <w:p>
      <w:pPr>
        <w:pStyle w:val="Compact"/>
        <w:numPr>
          <w:ilvl w:val="0"/>
          <w:numId w:val="1017"/>
        </w:numPr>
      </w:pPr>
      <w:r>
        <w:t xml:space="preserve">Validação automática de tipos pelo ORM</w:t>
      </w:r>
    </w:p>
    <w:p>
      <w:pPr>
        <w:pStyle w:val="Compact"/>
        <w:numPr>
          <w:ilvl w:val="0"/>
          <w:numId w:val="1017"/>
        </w:numPr>
      </w:pPr>
      <w:r>
        <w:t xml:space="preserve">Prevenção de SQL injection</w:t>
      </w:r>
    </w:p>
    <w:p>
      <w:pPr>
        <w:pStyle w:val="Compact"/>
        <w:numPr>
          <w:ilvl w:val="0"/>
          <w:numId w:val="1017"/>
        </w:numPr>
      </w:pPr>
      <w:r>
        <w:t xml:space="preserve">Controle de acesso em nível de modelo</w:t>
      </w:r>
    </w:p>
    <w:p>
      <w:pPr>
        <w:pStyle w:val="Compact"/>
        <w:numPr>
          <w:ilvl w:val="0"/>
          <w:numId w:val="1017"/>
        </w:numPr>
      </w:pPr>
      <w:r>
        <w:t xml:space="preserve">Sanitização de dados de entrada</w:t>
      </w:r>
    </w:p>
    <w:p>
      <w:pPr>
        <w:pStyle w:val="Compact"/>
        <w:numPr>
          <w:ilvl w:val="0"/>
          <w:numId w:val="1017"/>
        </w:numPr>
      </w:pPr>
      <w:r>
        <w:t xml:space="preserve">Validação de permissões de usuário</w:t>
      </w:r>
    </w:p>
    <w:bookmarkEnd w:id="52"/>
    <w:bookmarkStart w:id="53" w:name="estrutura-de-metadados"/>
    <w:p>
      <w:pPr>
        <w:pStyle w:val="Ttulo4"/>
      </w:pPr>
      <w:r>
        <w:t xml:space="preserve">3.1.3 Estrutura de Metadados</w:t>
      </w:r>
    </w:p>
    <w:p>
      <w:pPr>
        <w:pStyle w:val="FirstParagraph"/>
      </w:pPr>
      <w:r>
        <w:t xml:space="preserve">A configuração do sistema é gerenciada através dos modelos do ORM:</w:t>
      </w:r>
    </w:p>
    <w:p>
      <w:pPr>
        <w:pStyle w:val="Compact"/>
        <w:numPr>
          <w:ilvl w:val="0"/>
          <w:numId w:val="1018"/>
        </w:numPr>
      </w:pPr>
      <w:r>
        <w:t xml:space="preserve">Definições de modelos e relacionamentos</w:t>
      </w:r>
    </w:p>
    <w:p>
      <w:pPr>
        <w:pStyle w:val="Compact"/>
        <w:numPr>
          <w:ilvl w:val="0"/>
          <w:numId w:val="1018"/>
        </w:numPr>
      </w:pPr>
      <w:r>
        <w:t xml:space="preserve">Validações e restrições de campo</w:t>
      </w:r>
    </w:p>
    <w:p>
      <w:pPr>
        <w:pStyle w:val="Compact"/>
        <w:numPr>
          <w:ilvl w:val="0"/>
          <w:numId w:val="1018"/>
        </w:numPr>
      </w:pPr>
      <w:r>
        <w:t xml:space="preserve">Hooks e middlewares</w:t>
      </w:r>
    </w:p>
    <w:p>
      <w:pPr>
        <w:pStyle w:val="Compact"/>
        <w:numPr>
          <w:ilvl w:val="0"/>
          <w:numId w:val="1018"/>
        </w:numPr>
      </w:pPr>
      <w:r>
        <w:t xml:space="preserve">Configurações de cache</w:t>
      </w:r>
    </w:p>
    <w:bookmarkEnd w:id="53"/>
    <w:bookmarkStart w:id="54" w:name="implementação-da-prova-de-conceito"/>
    <w:p>
      <w:pPr>
        <w:pStyle w:val="Ttulo4"/>
      </w:pPr>
      <w:r>
        <w:t xml:space="preserve">3.1.4 Implementação da Prova de Conceito</w:t>
      </w:r>
    </w:p>
    <w:p>
      <w:pPr>
        <w:pStyle w:val="FirstParagraph"/>
      </w:pPr>
      <w:r>
        <w:t xml:space="preserve">A implementação utiliza uma stack tecnológica moderna baseada em Node.js, escolhida por sua eficiência e amplo suporte a ferramentas de desenvolvimento. Os principais componentes tecnológicos incluem:</w:t>
      </w:r>
    </w:p>
    <w:p>
      <w:pPr>
        <w:pStyle w:val="Compact"/>
        <w:numPr>
          <w:ilvl w:val="0"/>
          <w:numId w:val="1019"/>
        </w:numPr>
      </w:pPr>
      <w:r>
        <w:t xml:space="preserve">Backend: Node.js</w:t>
      </w:r>
    </w:p>
    <w:p>
      <w:pPr>
        <w:pStyle w:val="Compact"/>
        <w:numPr>
          <w:ilvl w:val="0"/>
          <w:numId w:val="1019"/>
        </w:numPr>
      </w:pPr>
      <w:r>
        <w:t xml:space="preserve">LLM: GPT-3 via API OpenAI</w:t>
      </w:r>
    </w:p>
    <w:p>
      <w:pPr>
        <w:pStyle w:val="Compact"/>
        <w:numPr>
          <w:ilvl w:val="0"/>
          <w:numId w:val="1019"/>
        </w:numPr>
      </w:pPr>
      <w:r>
        <w:t xml:space="preserve">ORM: Sequelize</w:t>
      </w:r>
    </w:p>
    <w:p>
      <w:pPr>
        <w:pStyle w:val="Compact"/>
        <w:numPr>
          <w:ilvl w:val="0"/>
          <w:numId w:val="1019"/>
        </w:numPr>
      </w:pPr>
      <w:r>
        <w:t xml:space="preserve">Banco de Dados: PostgreSQL</w:t>
      </w:r>
    </w:p>
    <w:bookmarkEnd w:id="54"/>
    <w:bookmarkStart w:id="55" w:name="desenvolvimento-do-plugin"/>
    <w:p>
      <w:pPr>
        <w:pStyle w:val="Ttulo4"/>
      </w:pPr>
      <w:r>
        <w:t xml:space="preserve">3.1.5 Desenvolvimento do Plugin</w:t>
      </w:r>
    </w:p>
    <w:p>
      <w:pPr>
        <w:pStyle w:val="FirstParagraph"/>
      </w:pPr>
      <w:r>
        <w:t xml:space="preserve">O plugin ORM implementa:</w:t>
      </w:r>
    </w:p>
    <w:p>
      <w:pPr>
        <w:pStyle w:val="Compact"/>
        <w:numPr>
          <w:ilvl w:val="0"/>
          <w:numId w:val="1020"/>
        </w:numPr>
      </w:pPr>
      <w:r>
        <w:t xml:space="preserve">Interface de comunicação com o LLM</w:t>
      </w:r>
    </w:p>
    <w:p>
      <w:pPr>
        <w:pStyle w:val="Compact"/>
        <w:numPr>
          <w:ilvl w:val="0"/>
          <w:numId w:val="1020"/>
        </w:numPr>
      </w:pPr>
      <w:r>
        <w:t xml:space="preserve">Interpretação de intenções para queries</w:t>
      </w:r>
    </w:p>
    <w:p>
      <w:pPr>
        <w:pStyle w:val="Compact"/>
        <w:numPr>
          <w:ilvl w:val="0"/>
          <w:numId w:val="1020"/>
        </w:numPr>
      </w:pPr>
      <w:r>
        <w:t xml:space="preserve">Gerenciamento de transações</w:t>
      </w:r>
    </w:p>
    <w:p>
      <w:pPr>
        <w:pStyle w:val="Compact"/>
        <w:numPr>
          <w:ilvl w:val="0"/>
          <w:numId w:val="1020"/>
        </w:numPr>
      </w:pPr>
      <w:r>
        <w:t xml:space="preserve">Sistema de cache</w:t>
      </w:r>
    </w:p>
    <w:p>
      <w:pPr>
        <w:pStyle w:val="Compact"/>
        <w:numPr>
          <w:ilvl w:val="0"/>
          <w:numId w:val="1020"/>
        </w:numPr>
      </w:pPr>
      <w:r>
        <w:t xml:space="preserve">Logging e monitoramento</w:t>
      </w:r>
    </w:p>
    <w:bookmarkEnd w:id="55"/>
    <w:bookmarkStart w:id="56" w:name="detalhes-técnicos"/>
    <w:p>
      <w:pPr>
        <w:pStyle w:val="Ttulo4"/>
      </w:pPr>
      <w:r>
        <w:t xml:space="preserve">3.1.6 Detalhes Técnicos</w:t>
      </w:r>
    </w:p>
    <w:p>
      <w:pPr>
        <w:pStyle w:val="FirstParagraph"/>
      </w:pPr>
      <w:r>
        <w:t xml:space="preserve">A implementação técnica foca em três aspectos principais:</w:t>
      </w:r>
    </w:p>
    <w:bookmarkEnd w:id="56"/>
    <w:bookmarkStart w:id="57" w:name="integração-com-llm"/>
    <w:p>
      <w:pPr>
        <w:pStyle w:val="Ttulo4"/>
      </w:pPr>
      <w:r>
        <w:t xml:space="preserve">3.1.7 Integração com LLM</w:t>
      </w:r>
    </w:p>
    <w:p>
      <w:pPr>
        <w:pStyle w:val="FirstParagraph"/>
      </w:pPr>
      <w:r>
        <w:t xml:space="preserve">O sistema utiliza técnicas avançadas de prompt engineering para:</w:t>
      </w:r>
    </w:p>
    <w:p>
      <w:pPr>
        <w:pStyle w:val="Compact"/>
        <w:numPr>
          <w:ilvl w:val="0"/>
          <w:numId w:val="1021"/>
        </w:numPr>
      </w:pPr>
      <w:r>
        <w:t xml:space="preserve">Interpretação de modelos do ORM</w:t>
      </w:r>
    </w:p>
    <w:p>
      <w:pPr>
        <w:pStyle w:val="Compact"/>
        <w:numPr>
          <w:ilvl w:val="0"/>
          <w:numId w:val="1021"/>
        </w:numPr>
      </w:pPr>
      <w:r>
        <w:t xml:space="preserve">Geração de queries complexas</w:t>
      </w:r>
    </w:p>
    <w:p>
      <w:pPr>
        <w:pStyle w:val="Compact"/>
        <w:numPr>
          <w:ilvl w:val="0"/>
          <w:numId w:val="1021"/>
        </w:numPr>
      </w:pPr>
      <w:r>
        <w:t xml:space="preserve">Otimização de consultas</w:t>
      </w:r>
    </w:p>
    <w:p>
      <w:pPr>
        <w:pStyle w:val="Compact"/>
        <w:numPr>
          <w:ilvl w:val="0"/>
          <w:numId w:val="1021"/>
        </w:numPr>
      </w:pPr>
      <w:r>
        <w:t xml:space="preserve">Gerenciamento de relacionamentos</w:t>
      </w:r>
    </w:p>
    <w:bookmarkEnd w:id="57"/>
    <w:bookmarkStart w:id="58" w:name="tratamento-de-erros"/>
    <w:p>
      <w:pPr>
        <w:pStyle w:val="Ttulo4"/>
      </w:pPr>
      <w:r>
        <w:t xml:space="preserve">3.1.8 Tratamento de Erros</w:t>
      </w:r>
    </w:p>
    <w:p>
      <w:pPr>
        <w:pStyle w:val="FirstParagraph"/>
      </w:pPr>
      <w:r>
        <w:t xml:space="preserve">O sistema implementa estratégias robustas para:</w:t>
      </w:r>
    </w:p>
    <w:p>
      <w:pPr>
        <w:pStyle w:val="Compact"/>
        <w:numPr>
          <w:ilvl w:val="0"/>
          <w:numId w:val="1022"/>
        </w:numPr>
      </w:pPr>
      <w:r>
        <w:t xml:space="preserve">Validação de tipos</w:t>
      </w:r>
    </w:p>
    <w:p>
      <w:pPr>
        <w:pStyle w:val="Compact"/>
        <w:numPr>
          <w:ilvl w:val="0"/>
          <w:numId w:val="1022"/>
        </w:numPr>
      </w:pPr>
      <w:r>
        <w:t xml:space="preserve">Erros de constraint</w:t>
      </w:r>
    </w:p>
    <w:p>
      <w:pPr>
        <w:pStyle w:val="Compact"/>
        <w:numPr>
          <w:ilvl w:val="0"/>
          <w:numId w:val="1022"/>
        </w:numPr>
      </w:pPr>
      <w:r>
        <w:t xml:space="preserve">Timeout de transações</w:t>
      </w:r>
    </w:p>
    <w:p>
      <w:pPr>
        <w:pStyle w:val="Compact"/>
        <w:numPr>
          <w:ilvl w:val="0"/>
          <w:numId w:val="1022"/>
        </w:numPr>
      </w:pPr>
      <w:r>
        <w:t xml:space="preserve">Conflitos de concorrência</w:t>
      </w:r>
    </w:p>
    <w:bookmarkEnd w:id="58"/>
    <w:bookmarkStart w:id="59" w:name="avaliação-e-métricas"/>
    <w:p>
      <w:pPr>
        <w:pStyle w:val="Ttulo4"/>
      </w:pPr>
      <w:r>
        <w:t xml:space="preserve">3.1.9 Avaliação e Métricas</w:t>
      </w:r>
    </w:p>
    <w:p>
      <w:pPr>
        <w:pStyle w:val="FirstParagraph"/>
      </w:pPr>
      <w:r>
        <w:t xml:space="preserve">Esta abordagem foi avaliada considerando os seguintes aspectos:</w:t>
      </w:r>
    </w:p>
    <w:p>
      <w:pPr>
        <w:pStyle w:val="Compact"/>
        <w:numPr>
          <w:ilvl w:val="0"/>
          <w:numId w:val="1023"/>
        </w:numPr>
      </w:pPr>
      <w:r>
        <w:t xml:space="preserve">Performance</w:t>
      </w:r>
    </w:p>
    <w:p>
      <w:pPr>
        <w:pStyle w:val="Compact"/>
        <w:numPr>
          <w:ilvl w:val="0"/>
          <w:numId w:val="1023"/>
        </w:numPr>
      </w:pPr>
      <w:r>
        <w:t xml:space="preserve">Segurança</w:t>
      </w:r>
    </w:p>
    <w:p>
      <w:pPr>
        <w:pStyle w:val="Compact"/>
        <w:numPr>
          <w:ilvl w:val="0"/>
          <w:numId w:val="1023"/>
        </w:numPr>
      </w:pPr>
      <w:r>
        <w:t xml:space="preserve">Custos Operacionais</w:t>
      </w:r>
    </w:p>
    <w:bookmarkEnd w:id="59"/>
    <w:bookmarkStart w:id="60" w:name="considerações-práticas"/>
    <w:p>
      <w:pPr>
        <w:pStyle w:val="Ttulo4"/>
      </w:pPr>
      <w:r>
        <w:t xml:space="preserve">3.1.10 Considerações Práticas</w:t>
      </w:r>
    </w:p>
    <w:p>
      <w:pPr>
        <w:pStyle w:val="FirstParagraph"/>
      </w:pPr>
      <w:r>
        <w:t xml:space="preserve">A implementação revelou diversos aspectos práticos importantes:</w:t>
      </w:r>
    </w:p>
    <w:p>
      <w:pPr>
        <w:pStyle w:val="Compact"/>
        <w:numPr>
          <w:ilvl w:val="0"/>
          <w:numId w:val="1024"/>
        </w:numPr>
      </w:pPr>
      <w:r>
        <w:t xml:space="preserve">Desafios</w:t>
      </w:r>
    </w:p>
    <w:p>
      <w:pPr>
        <w:pStyle w:val="Compact"/>
        <w:numPr>
          <w:ilvl w:val="0"/>
          <w:numId w:val="1024"/>
        </w:numPr>
      </w:pPr>
      <w:r>
        <w:t xml:space="preserve">Infraestrutura</w:t>
      </w:r>
    </w:p>
    <w:p>
      <w:pPr>
        <w:pStyle w:val="Compact"/>
        <w:numPr>
          <w:ilvl w:val="0"/>
          <w:numId w:val="1024"/>
        </w:numPr>
      </w:pPr>
      <w:r>
        <w:t xml:space="preserve">Manutenção</w:t>
      </w:r>
    </w:p>
    <w:bookmarkEnd w:id="60"/>
    <w:bookmarkEnd w:id="61"/>
    <w:bookmarkStart w:id="73" w:name="integração-openapi-mcp"/>
    <w:p>
      <w:pPr>
        <w:pStyle w:val="Ttulo3"/>
      </w:pPr>
      <w:r>
        <w:t xml:space="preserve">3.2 Integração OpenAPI-MCP</w:t>
      </w:r>
    </w:p>
    <w:p>
      <w:pPr>
        <w:pStyle w:val="FirstParagraph"/>
      </w:pPr>
      <w:r>
        <w:t xml:space="preserve">A terceira abordagem implementa uma solução unificada que combina a especificação OpenAPI com o Model Context Protocol (MCP). Esta seção detalha a arquitetura, implementação e considerações práticas desta solução integrada.</w:t>
      </w:r>
    </w:p>
    <w:bookmarkStart w:id="65" w:name="arquitetura-da-solução-1"/>
    <w:p>
      <w:pPr>
        <w:pStyle w:val="Ttulo4"/>
      </w:pPr>
      <w:r>
        <w:t xml:space="preserve">3.2.1 Arquitetura da Solução</w:t>
      </w:r>
    </w:p>
    <w:p>
      <w:pPr>
        <w:pStyle w:val="FirstParagraph"/>
      </w:pPr>
      <w:r>
        <w:t xml:space="preserve">A arquitetura proposta para esta abordagem implementa um servidor MCP que é gerado a partir de uma definição OpenAPI e que pode ser integrado a qualquer sistema que suporte o protocolo MCP. Dessa forma, a integração é feita através de uma definição OpenAPI, que é a forma padrão de se integrar sistemas através de APIs.</w:t>
      </w:r>
    </w:p>
    <w:p>
      <w:pPr>
        <w:pStyle w:val="CaptionedFigure"/>
      </w:pPr>
      <w:r>
        <w:drawing>
          <wp:inline>
            <wp:extent cx="5753100" cy="2117678"/>
            <wp:effectExtent b="0" l="0" r="0" t="0"/>
            <wp:docPr descr="OpenAPI-MCP - Diagrama da Arquitetura" title="" id="63" name="Picture"/>
            <a:graphic>
              <a:graphicData uri="http://schemas.openxmlformats.org/drawingml/2006/picture">
                <pic:pic>
                  <pic:nvPicPr>
                    <pic:cNvPr descr="images/openapi-mcp/openapi-mcp-diagram-approach.jpg" id="64" name="Picture"/>
                    <pic:cNvPicPr>
                      <a:picLocks noChangeArrowheads="1" noChangeAspect="1"/>
                    </pic:cNvPicPr>
                  </pic:nvPicPr>
                  <pic:blipFill>
                    <a:blip r:embed="rId62"/>
                    <a:stretch>
                      <a:fillRect/>
                    </a:stretch>
                  </pic:blipFill>
                  <pic:spPr bwMode="auto">
                    <a:xfrm>
                      <a:off x="0" y="0"/>
                      <a:ext cx="5753100" cy="2117678"/>
                    </a:xfrm>
                    <a:prstGeom prst="rect">
                      <a:avLst/>
                    </a:prstGeom>
                    <a:noFill/>
                    <a:ln w="9525">
                      <a:noFill/>
                      <a:headEnd/>
                      <a:tailEnd/>
                    </a:ln>
                  </pic:spPr>
                </pic:pic>
              </a:graphicData>
            </a:graphic>
          </wp:inline>
        </w:drawing>
      </w:r>
    </w:p>
    <w:p>
      <w:pPr>
        <w:pStyle w:val="ImageCaption"/>
      </w:pPr>
      <w:r>
        <w:t xml:space="preserve">OpenAPI-MCP - Diagrama da Arquitetura</w:t>
      </w:r>
    </w:p>
    <w:p>
      <w:pPr>
        <w:pStyle w:val="BodyText"/>
      </w:pPr>
      <w:r>
        <w:t xml:space="preserve">A arquitetura desta abordagem é composta por três camadas principais:</w:t>
      </w:r>
    </w:p>
    <w:p>
      <w:pPr>
        <w:numPr>
          <w:ilvl w:val="0"/>
          <w:numId w:val="1025"/>
        </w:numPr>
      </w:pPr>
      <w:r>
        <w:rPr>
          <w:b/>
          <w:bCs/>
        </w:rPr>
        <w:t xml:space="preserve">Camada de Definição API</w:t>
      </w:r>
    </w:p>
    <w:p>
      <w:pPr>
        <w:pStyle w:val="Compact"/>
        <w:numPr>
          <w:ilvl w:val="1"/>
          <w:numId w:val="1026"/>
        </w:numPr>
      </w:pPr>
      <w:r>
        <w:t xml:space="preserve">Especificações OpenAPI dos sistemas alvo</w:t>
      </w:r>
    </w:p>
    <w:p>
      <w:pPr>
        <w:pStyle w:val="Compact"/>
        <w:numPr>
          <w:ilvl w:val="1"/>
          <w:numId w:val="1026"/>
        </w:numPr>
      </w:pPr>
      <w:r>
        <w:t xml:space="preserve">Definições de endpoints e operações</w:t>
      </w:r>
    </w:p>
    <w:p>
      <w:pPr>
        <w:pStyle w:val="Compact"/>
        <w:numPr>
          <w:ilvl w:val="1"/>
          <w:numId w:val="1026"/>
        </w:numPr>
      </w:pPr>
      <w:r>
        <w:t xml:space="preserve">Esquemas de dados e validação</w:t>
      </w:r>
    </w:p>
    <w:p>
      <w:pPr>
        <w:pStyle w:val="Compact"/>
        <w:numPr>
          <w:ilvl w:val="1"/>
          <w:numId w:val="1026"/>
        </w:numPr>
      </w:pPr>
      <w:r>
        <w:t xml:space="preserve">Configurações de segurança e autenticação</w:t>
      </w:r>
    </w:p>
    <w:p>
      <w:pPr>
        <w:numPr>
          <w:ilvl w:val="0"/>
          <w:numId w:val="1025"/>
        </w:numPr>
      </w:pPr>
      <w:r>
        <w:rPr>
          <w:b/>
          <w:bCs/>
        </w:rPr>
        <w:t xml:space="preserve">Camada de Geração MCP</w:t>
      </w:r>
    </w:p>
    <w:p>
      <w:pPr>
        <w:pStyle w:val="Compact"/>
        <w:numPr>
          <w:ilvl w:val="1"/>
          <w:numId w:val="1027"/>
        </w:numPr>
      </w:pPr>
      <w:r>
        <w:t xml:space="preserve">Gerador automático de servidores MCP</w:t>
      </w:r>
    </w:p>
    <w:p>
      <w:pPr>
        <w:pStyle w:val="Compact"/>
        <w:numPr>
          <w:ilvl w:val="1"/>
          <w:numId w:val="1027"/>
        </w:numPr>
      </w:pPr>
      <w:r>
        <w:t xml:space="preserve">Mapeamento OpenAPI para MCP</w:t>
      </w:r>
    </w:p>
    <w:p>
      <w:pPr>
        <w:pStyle w:val="Compact"/>
        <w:numPr>
          <w:ilvl w:val="1"/>
          <w:numId w:val="1027"/>
        </w:numPr>
      </w:pPr>
      <w:r>
        <w:t xml:space="preserve">Geradores de código</w:t>
      </w:r>
    </w:p>
    <w:p>
      <w:pPr>
        <w:numPr>
          <w:ilvl w:val="0"/>
          <w:numId w:val="1025"/>
        </w:numPr>
      </w:pPr>
      <w:r>
        <w:rPr>
          <w:b/>
          <w:bCs/>
        </w:rPr>
        <w:t xml:space="preserve">Camada de Runtime Cliente MCP</w:t>
      </w:r>
    </w:p>
    <w:p>
      <w:pPr>
        <w:pStyle w:val="Compact"/>
        <w:numPr>
          <w:ilvl w:val="1"/>
          <w:numId w:val="1028"/>
        </w:numPr>
      </w:pPr>
      <w:r>
        <w:t xml:space="preserve">Servidor MCP gerado</w:t>
      </w:r>
    </w:p>
    <w:p>
      <w:pPr>
        <w:pStyle w:val="Compact"/>
        <w:numPr>
          <w:ilvl w:val="1"/>
          <w:numId w:val="1028"/>
        </w:numPr>
      </w:pPr>
      <w:r>
        <w:t xml:space="preserve">Cliente MCP (LLM)</w:t>
      </w:r>
    </w:p>
    <w:p>
      <w:pPr>
        <w:pStyle w:val="Compact"/>
        <w:numPr>
          <w:ilvl w:val="1"/>
          <w:numId w:val="1028"/>
        </w:numPr>
      </w:pPr>
      <w:r>
        <w:t xml:space="preserve">Proxy de requisições REST</w:t>
      </w:r>
    </w:p>
    <w:p>
      <w:pPr>
        <w:pStyle w:val="Compact"/>
        <w:numPr>
          <w:ilvl w:val="1"/>
          <w:numId w:val="1028"/>
        </w:numPr>
      </w:pPr>
      <w:r>
        <w:t xml:space="preserve">Sistema de cache e otimização</w:t>
      </w:r>
    </w:p>
    <w:bookmarkEnd w:id="65"/>
    <w:bookmarkStart w:id="66" w:name="fluxo-de-operação"/>
    <w:p>
      <w:pPr>
        <w:pStyle w:val="Ttulo4"/>
      </w:pPr>
      <w:r>
        <w:t xml:space="preserve">3.2.2 Fluxo de Operação</w:t>
      </w:r>
    </w:p>
    <w:p>
      <w:pPr>
        <w:pStyle w:val="FirstParagraph"/>
      </w:pPr>
      <w:r>
        <w:t xml:space="preserve">O sistema opera através do seguinte fluxo:</w:t>
      </w:r>
    </w:p>
    <w:p>
      <w:pPr>
        <w:pStyle w:val="Compact"/>
        <w:numPr>
          <w:ilvl w:val="0"/>
          <w:numId w:val="1029"/>
        </w:numPr>
      </w:pPr>
      <w:r>
        <w:t xml:space="preserve">Definição das APIs via OpenAPI</w:t>
      </w:r>
    </w:p>
    <w:p>
      <w:pPr>
        <w:pStyle w:val="Compact"/>
        <w:numPr>
          <w:ilvl w:val="0"/>
          <w:numId w:val="1029"/>
        </w:numPr>
      </w:pPr>
      <w:r>
        <w:t xml:space="preserve">Geração automática do servidor MCP</w:t>
      </w:r>
    </w:p>
    <w:p>
      <w:pPr>
        <w:pStyle w:val="Compact"/>
        <w:numPr>
          <w:ilvl w:val="0"/>
          <w:numId w:val="1029"/>
        </w:numPr>
      </w:pPr>
      <w:r>
        <w:t xml:space="preserve">Processamento de prompts do usuário pelo LLM</w:t>
      </w:r>
    </w:p>
    <w:p>
      <w:pPr>
        <w:pStyle w:val="Compact"/>
        <w:numPr>
          <w:ilvl w:val="0"/>
          <w:numId w:val="1029"/>
        </w:numPr>
      </w:pPr>
      <w:r>
        <w:t xml:space="preserve">Tradução de intenções em chamadas MCP using SSE</w:t>
      </w:r>
    </w:p>
    <w:p>
      <w:pPr>
        <w:pStyle w:val="Compact"/>
        <w:numPr>
          <w:ilvl w:val="0"/>
          <w:numId w:val="1029"/>
        </w:numPr>
      </w:pPr>
      <w:r>
        <w:t xml:space="preserve">Processamento das respostas e apresentação ao usuário</w:t>
      </w:r>
    </w:p>
    <w:bookmarkEnd w:id="66"/>
    <w:bookmarkStart w:id="67" w:name="componentes-de-segurança-1"/>
    <w:p>
      <w:pPr>
        <w:pStyle w:val="Ttulo4"/>
      </w:pPr>
      <w:r>
        <w:t xml:space="preserve">3.2.3 Componentes de Segurança</w:t>
      </w:r>
    </w:p>
    <w:p>
      <w:pPr>
        <w:pStyle w:val="FirstParagraph"/>
      </w:pPr>
      <w:r>
        <w:t xml:space="preserve">A implementação mantém as características de segurança de ambos os protocolos:</w:t>
      </w:r>
    </w:p>
    <w:p>
      <w:pPr>
        <w:pStyle w:val="Compact"/>
        <w:numPr>
          <w:ilvl w:val="0"/>
          <w:numId w:val="1030"/>
        </w:numPr>
      </w:pPr>
      <w:r>
        <w:t xml:space="preserve">Validação de schemas OpenAPI</w:t>
      </w:r>
    </w:p>
    <w:p>
      <w:pPr>
        <w:pStyle w:val="Compact"/>
        <w:numPr>
          <w:ilvl w:val="0"/>
          <w:numId w:val="1030"/>
        </w:numPr>
      </w:pPr>
      <w:r>
        <w:t xml:space="preserve">Autenticação e gestão de permissões para uso do swagger</w:t>
      </w:r>
    </w:p>
    <w:bookmarkEnd w:id="67"/>
    <w:bookmarkStart w:id="68" w:name="implementação-da-prova-de-conceito-1"/>
    <w:p>
      <w:pPr>
        <w:pStyle w:val="Ttulo4"/>
      </w:pPr>
      <w:r>
        <w:t xml:space="preserve">3.2.4 Implementação da Prova de Conceito</w:t>
      </w:r>
    </w:p>
    <w:p>
      <w:pPr>
        <w:pStyle w:val="FirstParagraph"/>
      </w:pPr>
      <w:r>
        <w:t xml:space="preserve">A implementação utiliza as seguintes tecnologias:</w:t>
      </w:r>
    </w:p>
    <w:p>
      <w:pPr>
        <w:pStyle w:val="Compact"/>
        <w:numPr>
          <w:ilvl w:val="0"/>
          <w:numId w:val="1031"/>
        </w:numPr>
      </w:pPr>
      <w:r>
        <w:t xml:space="preserve">Node.js para o servidor de geração</w:t>
      </w:r>
    </w:p>
    <w:p>
      <w:pPr>
        <w:pStyle w:val="Compact"/>
        <w:numPr>
          <w:ilvl w:val="0"/>
          <w:numId w:val="1031"/>
        </w:numPr>
      </w:pPr>
      <w:r>
        <w:t xml:space="preserve">OpenAPI Tools para parsing de especificações</w:t>
      </w:r>
    </w:p>
    <w:p>
      <w:pPr>
        <w:pStyle w:val="Compact"/>
        <w:numPr>
          <w:ilvl w:val="0"/>
          <w:numId w:val="1031"/>
        </w:numPr>
      </w:pPr>
      <w:r>
        <w:t xml:space="preserve">MCP SDK para geração de servidores</w:t>
      </w:r>
    </w:p>
    <w:bookmarkEnd w:id="68"/>
    <w:bookmarkStart w:id="69" w:name="desenvolvimento-do-gerador"/>
    <w:p>
      <w:pPr>
        <w:pStyle w:val="Ttulo4"/>
      </w:pPr>
      <w:r>
        <w:t xml:space="preserve">3.2.5 Desenvolvimento do Gerador</w:t>
      </w:r>
    </w:p>
    <w:p>
      <w:pPr>
        <w:pStyle w:val="FirstParagraph"/>
      </w:pPr>
      <w:r>
        <w:t xml:space="preserve">O gerador de servidores MCP implementa:</w:t>
      </w:r>
    </w:p>
    <w:p>
      <w:pPr>
        <w:pStyle w:val="Compact"/>
        <w:numPr>
          <w:ilvl w:val="0"/>
          <w:numId w:val="1032"/>
        </w:numPr>
      </w:pPr>
      <w:r>
        <w:t xml:space="preserve">Parser de especificações OpenAPI</w:t>
      </w:r>
    </w:p>
    <w:p>
      <w:pPr>
        <w:pStyle w:val="Compact"/>
        <w:numPr>
          <w:ilvl w:val="0"/>
          <w:numId w:val="1032"/>
        </w:numPr>
      </w:pPr>
      <w:r>
        <w:t xml:space="preserve">Mapeamento de tipos OpenAPI para MCP</w:t>
      </w:r>
    </w:p>
    <w:p>
      <w:pPr>
        <w:pStyle w:val="Compact"/>
        <w:numPr>
          <w:ilvl w:val="0"/>
          <w:numId w:val="1032"/>
        </w:numPr>
      </w:pPr>
      <w:r>
        <w:t xml:space="preserve">Geração de código Typescript</w:t>
      </w:r>
    </w:p>
    <w:p>
      <w:pPr>
        <w:pStyle w:val="Compact"/>
        <w:numPr>
          <w:ilvl w:val="0"/>
          <w:numId w:val="1032"/>
        </w:numPr>
      </w:pPr>
      <w:r>
        <w:t xml:space="preserve">Templates de servidores MCP</w:t>
      </w:r>
    </w:p>
    <w:p>
      <w:pPr>
        <w:pStyle w:val="Compact"/>
        <w:numPr>
          <w:ilvl w:val="0"/>
          <w:numId w:val="1032"/>
        </w:numPr>
      </w:pPr>
      <w:r>
        <w:t xml:space="preserve">Sistema de plugins para extensibilidade</w:t>
      </w:r>
    </w:p>
    <w:bookmarkEnd w:id="69"/>
    <w:bookmarkStart w:id="70" w:name="detalhes-técnicos-1"/>
    <w:p>
      <w:pPr>
        <w:pStyle w:val="Ttulo4"/>
      </w:pPr>
      <w:r>
        <w:t xml:space="preserve">3.2.6 Detalhes Técnicos</w:t>
      </w:r>
    </w:p>
    <w:p>
      <w:pPr>
        <w:pStyle w:val="FirstParagraph"/>
      </w:pPr>
      <w:r>
        <w:t xml:space="preserve">A implementação foca em três aspectos principais:</w:t>
      </w:r>
    </w:p>
    <w:p>
      <w:pPr>
        <w:numPr>
          <w:ilvl w:val="0"/>
          <w:numId w:val="1033"/>
        </w:numPr>
      </w:pPr>
      <w:r>
        <w:rPr>
          <w:b/>
          <w:bCs/>
        </w:rPr>
        <w:t xml:space="preserve">Geração de Código</w:t>
      </w:r>
    </w:p>
    <w:p>
      <w:pPr>
        <w:pStyle w:val="Compact"/>
        <w:numPr>
          <w:ilvl w:val="1"/>
          <w:numId w:val="1034"/>
        </w:numPr>
      </w:pPr>
      <w:r>
        <w:t xml:space="preserve">Análise estática de especificações</w:t>
      </w:r>
    </w:p>
    <w:p>
      <w:pPr>
        <w:pStyle w:val="Compact"/>
        <w:numPr>
          <w:ilvl w:val="1"/>
          <w:numId w:val="1034"/>
        </w:numPr>
      </w:pPr>
      <w:r>
        <w:t xml:space="preserve">Geração de tipos Typescript</w:t>
      </w:r>
    </w:p>
    <w:p>
      <w:pPr>
        <w:pStyle w:val="Compact"/>
        <w:numPr>
          <w:ilvl w:val="1"/>
          <w:numId w:val="1034"/>
        </w:numPr>
      </w:pPr>
      <w:r>
        <w:t xml:space="preserve">Criação de validadores</w:t>
      </w:r>
    </w:p>
    <w:p>
      <w:pPr>
        <w:pStyle w:val="Compact"/>
        <w:numPr>
          <w:ilvl w:val="1"/>
          <w:numId w:val="1034"/>
        </w:numPr>
      </w:pPr>
      <w:r>
        <w:t xml:space="preserve">Documentação automática</w:t>
      </w:r>
    </w:p>
    <w:p>
      <w:pPr>
        <w:numPr>
          <w:ilvl w:val="0"/>
          <w:numId w:val="1033"/>
        </w:numPr>
      </w:pPr>
      <w:r>
        <w:rPr>
          <w:b/>
          <w:bCs/>
        </w:rPr>
        <w:t xml:space="preserve">Runtime</w:t>
      </w:r>
    </w:p>
    <w:p>
      <w:pPr>
        <w:pStyle w:val="Compact"/>
        <w:numPr>
          <w:ilvl w:val="1"/>
          <w:numId w:val="1035"/>
        </w:numPr>
      </w:pPr>
      <w:r>
        <w:t xml:space="preserve">Tratamento de erros de chamadas MCP</w:t>
      </w:r>
    </w:p>
    <w:p>
      <w:pPr>
        <w:numPr>
          <w:ilvl w:val="0"/>
          <w:numId w:val="1033"/>
        </w:numPr>
      </w:pPr>
      <w:r>
        <w:rPr>
          <w:b/>
          <w:bCs/>
        </w:rPr>
        <w:t xml:space="preserve">Integração LLM</w:t>
      </w:r>
    </w:p>
    <w:p>
      <w:pPr>
        <w:pStyle w:val="Compact"/>
        <w:numPr>
          <w:ilvl w:val="1"/>
          <w:numId w:val="1036"/>
        </w:numPr>
      </w:pPr>
      <w:r>
        <w:t xml:space="preserve">Prompt engineering para uso das ferramentas MCP</w:t>
      </w:r>
    </w:p>
    <w:p>
      <w:pPr>
        <w:pStyle w:val="Compact"/>
        <w:numPr>
          <w:ilvl w:val="1"/>
          <w:numId w:val="1036"/>
        </w:numPr>
      </w:pPr>
      <w:r>
        <w:t xml:space="preserve">Gerenciamento de contexto</w:t>
      </w:r>
    </w:p>
    <w:p>
      <w:pPr>
        <w:pStyle w:val="Compact"/>
        <w:numPr>
          <w:ilvl w:val="1"/>
          <w:numId w:val="1036"/>
        </w:numPr>
      </w:pPr>
      <w:r>
        <w:t xml:space="preserve">Otimização de chamadas</w:t>
      </w:r>
    </w:p>
    <w:p>
      <w:pPr>
        <w:pStyle w:val="Compact"/>
        <w:numPr>
          <w:ilvl w:val="1"/>
          <w:numId w:val="1036"/>
        </w:numPr>
      </w:pPr>
      <w:r>
        <w:t xml:space="preserve">Interpretação de respostas</w:t>
      </w:r>
    </w:p>
    <w:bookmarkEnd w:id="70"/>
    <w:bookmarkStart w:id="71" w:name="avaliação-e-métricas-1"/>
    <w:p>
      <w:pPr>
        <w:pStyle w:val="Ttulo4"/>
      </w:pPr>
      <w:r>
        <w:t xml:space="preserve">3.2.7 Avaliação e Métricas</w:t>
      </w:r>
    </w:p>
    <w:p>
      <w:pPr>
        <w:pStyle w:val="FirstParagraph"/>
      </w:pPr>
      <w:r>
        <w:t xml:space="preserve">A avaliação considera aspectos específicos desta abordagem:</w:t>
      </w:r>
    </w:p>
    <w:p>
      <w:pPr>
        <w:numPr>
          <w:ilvl w:val="0"/>
          <w:numId w:val="1037"/>
        </w:numPr>
      </w:pPr>
      <w:r>
        <w:rPr>
          <w:b/>
          <w:bCs/>
        </w:rPr>
        <w:t xml:space="preserve">Performance</w:t>
      </w:r>
    </w:p>
    <w:p>
      <w:pPr>
        <w:pStyle w:val="Compact"/>
        <w:numPr>
          <w:ilvl w:val="1"/>
          <w:numId w:val="1038"/>
        </w:numPr>
      </w:pPr>
      <w:r>
        <w:t xml:space="preserve">Tempo de geração de servidores</w:t>
      </w:r>
    </w:p>
    <w:p>
      <w:pPr>
        <w:pStyle w:val="Compact"/>
        <w:numPr>
          <w:ilvl w:val="1"/>
          <w:numId w:val="1038"/>
        </w:numPr>
      </w:pPr>
      <w:r>
        <w:t xml:space="preserve">Latência de chamadas MCP</w:t>
      </w:r>
    </w:p>
    <w:p>
      <w:pPr>
        <w:pStyle w:val="Compact"/>
        <w:numPr>
          <w:ilvl w:val="1"/>
          <w:numId w:val="1038"/>
        </w:numPr>
      </w:pPr>
      <w:r>
        <w:t xml:space="preserve">Eficiência de cache</w:t>
      </w:r>
    </w:p>
    <w:p>
      <w:pPr>
        <w:numPr>
          <w:ilvl w:val="0"/>
          <w:numId w:val="1037"/>
        </w:numPr>
      </w:pPr>
      <w:r>
        <w:rPr>
          <w:b/>
          <w:bCs/>
        </w:rPr>
        <w:t xml:space="preserve">Confiabilidade</w:t>
      </w:r>
    </w:p>
    <w:p>
      <w:pPr>
        <w:pStyle w:val="Compact"/>
        <w:numPr>
          <w:ilvl w:val="1"/>
          <w:numId w:val="1039"/>
        </w:numPr>
      </w:pPr>
      <w:r>
        <w:t xml:space="preserve">Taxa de sucesso de geração</w:t>
      </w:r>
    </w:p>
    <w:p>
      <w:pPr>
        <w:pStyle w:val="Compact"/>
        <w:numPr>
          <w:ilvl w:val="1"/>
          <w:numId w:val="1039"/>
        </w:numPr>
      </w:pPr>
      <w:r>
        <w:t xml:space="preserve">Estabilidade do servidor</w:t>
      </w:r>
    </w:p>
    <w:p>
      <w:pPr>
        <w:pStyle w:val="Compact"/>
        <w:numPr>
          <w:ilvl w:val="1"/>
          <w:numId w:val="1039"/>
        </w:numPr>
      </w:pPr>
      <w:r>
        <w:t xml:space="preserve">Consistência das respostas</w:t>
      </w:r>
    </w:p>
    <w:p>
      <w:pPr>
        <w:numPr>
          <w:ilvl w:val="0"/>
          <w:numId w:val="1037"/>
        </w:numPr>
      </w:pPr>
      <w:r>
        <w:rPr>
          <w:b/>
          <w:bCs/>
        </w:rPr>
        <w:t xml:space="preserve">Manutenibilidade</w:t>
      </w:r>
    </w:p>
    <w:p>
      <w:pPr>
        <w:pStyle w:val="Compact"/>
        <w:numPr>
          <w:ilvl w:val="1"/>
          <w:numId w:val="1040"/>
        </w:numPr>
      </w:pPr>
      <w:r>
        <w:t xml:space="preserve">Facilidade de atualização</w:t>
      </w:r>
    </w:p>
    <w:p>
      <w:pPr>
        <w:pStyle w:val="Compact"/>
        <w:numPr>
          <w:ilvl w:val="1"/>
          <w:numId w:val="1040"/>
        </w:numPr>
      </w:pPr>
      <w:r>
        <w:t xml:space="preserve">Compatibilidade com versões</w:t>
      </w:r>
    </w:p>
    <w:p>
      <w:pPr>
        <w:pStyle w:val="Compact"/>
        <w:numPr>
          <w:ilvl w:val="1"/>
          <w:numId w:val="1040"/>
        </w:numPr>
      </w:pPr>
      <w:r>
        <w:t xml:space="preserve">Clareza do código gerado</w:t>
      </w:r>
    </w:p>
    <w:p>
      <w:pPr>
        <w:pStyle w:val="Compact"/>
        <w:numPr>
          <w:ilvl w:val="1"/>
          <w:numId w:val="1040"/>
        </w:numPr>
      </w:pPr>
      <w:r>
        <w:t xml:space="preserve">Documentação automática</w:t>
      </w:r>
    </w:p>
    <w:bookmarkEnd w:id="71"/>
    <w:bookmarkStart w:id="72" w:name="considerações-práticas-1"/>
    <w:p>
      <w:pPr>
        <w:pStyle w:val="Ttulo4"/>
      </w:pPr>
      <w:r>
        <w:t xml:space="preserve">3.2.8 Considerações Práticas</w:t>
      </w:r>
    </w:p>
    <w:p>
      <w:pPr>
        <w:pStyle w:val="FirstParagraph"/>
      </w:pPr>
      <w:r>
        <w:t xml:space="preserve">A implementação revelou aspectos importantes:</w:t>
      </w:r>
    </w:p>
    <w:p>
      <w:pPr>
        <w:numPr>
          <w:ilvl w:val="0"/>
          <w:numId w:val="1041"/>
        </w:numPr>
      </w:pPr>
      <w:r>
        <w:rPr>
          <w:b/>
          <w:bCs/>
        </w:rPr>
        <w:t xml:space="preserve">Desafios</w:t>
      </w:r>
    </w:p>
    <w:p>
      <w:pPr>
        <w:pStyle w:val="Compact"/>
        <w:numPr>
          <w:ilvl w:val="1"/>
          <w:numId w:val="1042"/>
        </w:numPr>
      </w:pPr>
      <w:r>
        <w:t xml:space="preserve">Complexidade de mapeamento de tipos</w:t>
      </w:r>
    </w:p>
    <w:p>
      <w:pPr>
        <w:pStyle w:val="Compact"/>
        <w:numPr>
          <w:ilvl w:val="1"/>
          <w:numId w:val="1042"/>
        </w:numPr>
      </w:pPr>
      <w:r>
        <w:t xml:space="preserve">Manutenção de estado entre chamadas</w:t>
      </w:r>
    </w:p>
    <w:p>
      <w:pPr>
        <w:pStyle w:val="Compact"/>
        <w:numPr>
          <w:ilvl w:val="1"/>
          <w:numId w:val="1042"/>
        </w:numPr>
      </w:pPr>
      <w:r>
        <w:t xml:space="preserve">Versionamento de APIs</w:t>
      </w:r>
    </w:p>
    <w:p>
      <w:pPr>
        <w:pStyle w:val="Compact"/>
        <w:numPr>
          <w:ilvl w:val="1"/>
          <w:numId w:val="1042"/>
        </w:numPr>
      </w:pPr>
      <w:r>
        <w:t xml:space="preserve">Performance em grande escala</w:t>
      </w:r>
    </w:p>
    <w:p>
      <w:pPr>
        <w:numPr>
          <w:ilvl w:val="0"/>
          <w:numId w:val="1041"/>
        </w:numPr>
      </w:pPr>
      <w:r>
        <w:rPr>
          <w:b/>
          <w:bCs/>
        </w:rPr>
        <w:t xml:space="preserve">Infraestrutura</w:t>
      </w:r>
    </w:p>
    <w:p>
      <w:pPr>
        <w:pStyle w:val="Compact"/>
        <w:numPr>
          <w:ilvl w:val="1"/>
          <w:numId w:val="1043"/>
        </w:numPr>
      </w:pPr>
      <w:r>
        <w:t xml:space="preserve">Requisitos de deployment</w:t>
      </w:r>
    </w:p>
    <w:p>
      <w:pPr>
        <w:pStyle w:val="Compact"/>
        <w:numPr>
          <w:ilvl w:val="1"/>
          <w:numId w:val="1043"/>
        </w:numPr>
      </w:pPr>
      <w:r>
        <w:t xml:space="preserve">Escalabilidade horizontal</w:t>
      </w:r>
    </w:p>
    <w:p>
      <w:pPr>
        <w:pStyle w:val="Compact"/>
        <w:numPr>
          <w:ilvl w:val="1"/>
          <w:numId w:val="1043"/>
        </w:numPr>
      </w:pPr>
      <w:r>
        <w:t xml:space="preserve">Monitoramento distribuído</w:t>
      </w:r>
    </w:p>
    <w:p>
      <w:pPr>
        <w:pStyle w:val="Compact"/>
        <w:numPr>
          <w:ilvl w:val="1"/>
          <w:numId w:val="1043"/>
        </w:numPr>
      </w:pPr>
      <w:r>
        <w:t xml:space="preserve">Backup e recuperação</w:t>
      </w:r>
    </w:p>
    <w:p>
      <w:pPr>
        <w:numPr>
          <w:ilvl w:val="0"/>
          <w:numId w:val="1041"/>
        </w:numPr>
      </w:pPr>
      <w:r>
        <w:rPr>
          <w:b/>
          <w:bCs/>
        </w:rPr>
        <w:t xml:space="preserve">Manutenção</w:t>
      </w:r>
    </w:p>
    <w:p>
      <w:pPr>
        <w:pStyle w:val="Compact"/>
        <w:numPr>
          <w:ilvl w:val="1"/>
          <w:numId w:val="1044"/>
        </w:numPr>
      </w:pPr>
      <w:r>
        <w:t xml:space="preserve">Atualizações de especificações</w:t>
      </w:r>
    </w:p>
    <w:p>
      <w:pPr>
        <w:pStyle w:val="Compact"/>
        <w:numPr>
          <w:ilvl w:val="1"/>
          <w:numId w:val="1044"/>
        </w:numPr>
      </w:pPr>
      <w:r>
        <w:t xml:space="preserve">Regeneração de servidores</w:t>
      </w:r>
    </w:p>
    <w:p>
      <w:pPr>
        <w:pStyle w:val="Compact"/>
        <w:numPr>
          <w:ilvl w:val="1"/>
          <w:numId w:val="1044"/>
        </w:numPr>
      </w:pPr>
      <w:r>
        <w:t xml:space="preserve">Migração de dados</w:t>
      </w:r>
    </w:p>
    <w:p>
      <w:pPr>
        <w:pStyle w:val="Compact"/>
        <w:numPr>
          <w:ilvl w:val="1"/>
          <w:numId w:val="1044"/>
        </w:numPr>
      </w:pPr>
      <w:r>
        <w:t xml:space="preserve">Gestão de dependências</w:t>
      </w:r>
    </w:p>
    <w:bookmarkEnd w:id="72"/>
    <w:bookmarkEnd w:id="73"/>
    <w:bookmarkStart w:id="85" w:name="Xf1369250c94770585147b84604de53e4e8dc6b4"/>
    <w:p>
      <w:pPr>
        <w:pStyle w:val="Ttulo3"/>
      </w:pPr>
      <w:r>
        <w:t xml:space="preserve">3.3 Integração via conexão direta com o banco de dados</w:t>
      </w:r>
    </w:p>
    <w:p>
      <w:pPr>
        <w:pStyle w:val="FirstParagraph"/>
      </w:pPr>
      <w:r>
        <w:t xml:space="preserve">A terceira abordagem explora a integração direta entre o LLM e o banco de dados, minimizando camadas intermediárias de abstração. Esta abordagem oferece máximo controle e performance, mas requer cuidados especiais com segurança e validação. Esta seção detalha a arquitetura, implementação e considerações práticas desta solução.</w:t>
      </w:r>
    </w:p>
    <w:bookmarkStart w:id="77" w:name="arquitetura-da-solução-2"/>
    <w:p>
      <w:pPr>
        <w:pStyle w:val="Ttulo4"/>
      </w:pPr>
      <w:r>
        <w:t xml:space="preserve">3.3.1 Arquitetura da Solução</w:t>
      </w:r>
    </w:p>
    <w:p>
      <w:pPr>
        <w:pStyle w:val="FirstParagraph"/>
      </w:pPr>
      <w:r>
        <w:t xml:space="preserve">A arquitetura desta abordagem é intencionalmente minimalista, composta por três componentes principais:</w:t>
      </w:r>
    </w:p>
    <w:p>
      <w:pPr>
        <w:numPr>
          <w:ilvl w:val="0"/>
          <w:numId w:val="1045"/>
        </w:numPr>
      </w:pPr>
      <w:r>
        <w:rPr>
          <w:b/>
          <w:bCs/>
        </w:rPr>
        <w:t xml:space="preserve">Camada de Interface</w:t>
      </w:r>
    </w:p>
    <w:p>
      <w:pPr>
        <w:pStyle w:val="Compact"/>
        <w:numPr>
          <w:ilvl w:val="1"/>
          <w:numId w:val="1046"/>
        </w:numPr>
      </w:pPr>
      <w:r>
        <w:t xml:space="preserve">Cadastro das conexões com o banco de dados (para que a aplicação possa obter os schemas e executar queries)</w:t>
      </w:r>
    </w:p>
    <w:p>
      <w:pPr>
        <w:pStyle w:val="Compact"/>
        <w:numPr>
          <w:ilvl w:val="1"/>
          <w:numId w:val="1046"/>
        </w:numPr>
      </w:pPr>
      <w:r>
        <w:t xml:space="preserve">Serviço LLM (para gerar queries, interpretar os dados e gerar respostas)</w:t>
      </w:r>
    </w:p>
    <w:p>
      <w:pPr>
        <w:numPr>
          <w:ilvl w:val="0"/>
          <w:numId w:val="1045"/>
        </w:numPr>
      </w:pPr>
      <w:r>
        <w:rPr>
          <w:b/>
          <w:bCs/>
        </w:rPr>
        <w:t xml:space="preserve">Camada de Segurança</w:t>
      </w:r>
    </w:p>
    <w:p>
      <w:pPr>
        <w:pStyle w:val="Compact"/>
        <w:numPr>
          <w:ilvl w:val="1"/>
          <w:numId w:val="1047"/>
        </w:numPr>
      </w:pPr>
      <w:r>
        <w:t xml:space="preserve">Sistema de validação de queries (para sanitizar os dados e evitar SQL injection)</w:t>
      </w:r>
    </w:p>
    <w:p>
      <w:pPr>
        <w:numPr>
          <w:ilvl w:val="0"/>
          <w:numId w:val="1045"/>
        </w:numPr>
      </w:pPr>
      <w:r>
        <w:rPr>
          <w:b/>
          <w:bCs/>
        </w:rPr>
        <w:t xml:space="preserve">Camada de Dados</w:t>
      </w:r>
    </w:p>
    <w:p>
      <w:pPr>
        <w:pStyle w:val="Compact"/>
        <w:numPr>
          <w:ilvl w:val="1"/>
          <w:numId w:val="1048"/>
        </w:numPr>
      </w:pPr>
      <w:r>
        <w:t xml:space="preserve">Gerenciamento de conexões com o banco de dados (em caso de múltiplos databases, a aplicação deve integrar todos e possibilitar que o LLM escolha qual usar)</w:t>
      </w:r>
    </w:p>
    <w:p>
      <w:pPr>
        <w:pStyle w:val="Compact"/>
        <w:numPr>
          <w:ilvl w:val="1"/>
          <w:numId w:val="1048"/>
        </w:numPr>
      </w:pPr>
      <w:r>
        <w:t xml:space="preserve">Cache de queries</w:t>
      </w:r>
    </w:p>
    <w:p>
      <w:pPr>
        <w:pStyle w:val="CaptionedFigure"/>
      </w:pPr>
      <w:r>
        <w:drawing>
          <wp:inline>
            <wp:extent cx="5753100" cy="2563881"/>
            <wp:effectExtent b="0" l="0" r="0" t="0"/>
            <wp:docPr descr="DB - Diagrama da Arquitetura" title="" id="75" name="Picture"/>
            <a:graphic>
              <a:graphicData uri="http://schemas.openxmlformats.org/drawingml/2006/picture">
                <pic:pic>
                  <pic:nvPicPr>
                    <pic:cNvPr descr="images/db/db-diagram-approach.jpg" id="76" name="Picture"/>
                    <pic:cNvPicPr>
                      <a:picLocks noChangeArrowheads="1" noChangeAspect="1"/>
                    </pic:cNvPicPr>
                  </pic:nvPicPr>
                  <pic:blipFill>
                    <a:blip r:embed="rId74"/>
                    <a:stretch>
                      <a:fillRect/>
                    </a:stretch>
                  </pic:blipFill>
                  <pic:spPr bwMode="auto">
                    <a:xfrm>
                      <a:off x="0" y="0"/>
                      <a:ext cx="5753100" cy="2563881"/>
                    </a:xfrm>
                    <a:prstGeom prst="rect">
                      <a:avLst/>
                    </a:prstGeom>
                    <a:noFill/>
                    <a:ln w="9525">
                      <a:noFill/>
                      <a:headEnd/>
                      <a:tailEnd/>
                    </a:ln>
                  </pic:spPr>
                </pic:pic>
              </a:graphicData>
            </a:graphic>
          </wp:inline>
        </w:drawing>
      </w:r>
    </w:p>
    <w:p>
      <w:pPr>
        <w:pStyle w:val="ImageCaption"/>
      </w:pPr>
      <w:r>
        <w:t xml:space="preserve">DB - Diagrama da Arquitetura</w:t>
      </w:r>
    </w:p>
    <w:bookmarkEnd w:id="77"/>
    <w:bookmarkStart w:id="78" w:name="fluxo-de-operação-1"/>
    <w:p>
      <w:pPr>
        <w:pStyle w:val="Ttulo4"/>
      </w:pPr>
      <w:r>
        <w:t xml:space="preserve">3.3.2 Fluxo de Operação</w:t>
      </w:r>
    </w:p>
    <w:p>
      <w:pPr>
        <w:pStyle w:val="FirstParagraph"/>
      </w:pPr>
      <w:r>
        <w:t xml:space="preserve">O sistema opera através de um fluxo direto:</w:t>
      </w:r>
    </w:p>
    <w:p>
      <w:pPr>
        <w:pStyle w:val="Compact"/>
        <w:numPr>
          <w:ilvl w:val="0"/>
          <w:numId w:val="1049"/>
        </w:numPr>
      </w:pPr>
      <w:r>
        <w:t xml:space="preserve">Recebimento do prompt do usuário</w:t>
      </w:r>
    </w:p>
    <w:p>
      <w:pPr>
        <w:pStyle w:val="Compact"/>
        <w:numPr>
          <w:ilvl w:val="0"/>
          <w:numId w:val="1049"/>
        </w:numPr>
      </w:pPr>
      <w:r>
        <w:t xml:space="preserve">Análise de intenção pelo LLM</w:t>
      </w:r>
    </w:p>
    <w:p>
      <w:pPr>
        <w:pStyle w:val="Compact"/>
        <w:numPr>
          <w:ilvl w:val="0"/>
          <w:numId w:val="1049"/>
        </w:numPr>
      </w:pPr>
      <w:r>
        <w:t xml:space="preserve">Geração de query SQL</w:t>
      </w:r>
    </w:p>
    <w:p>
      <w:pPr>
        <w:pStyle w:val="Compact"/>
        <w:numPr>
          <w:ilvl w:val="0"/>
          <w:numId w:val="1049"/>
        </w:numPr>
      </w:pPr>
      <w:r>
        <w:t xml:space="preserve">Validação e sanitização</w:t>
      </w:r>
    </w:p>
    <w:p>
      <w:pPr>
        <w:pStyle w:val="Compact"/>
        <w:numPr>
          <w:ilvl w:val="0"/>
          <w:numId w:val="1049"/>
        </w:numPr>
      </w:pPr>
      <w:r>
        <w:t xml:space="preserve">Execução direta no banco</w:t>
      </w:r>
    </w:p>
    <w:p>
      <w:pPr>
        <w:pStyle w:val="Compact"/>
        <w:numPr>
          <w:ilvl w:val="0"/>
          <w:numId w:val="1049"/>
        </w:numPr>
      </w:pPr>
      <w:r>
        <w:t xml:space="preserve">Processamento dos resultados</w:t>
      </w:r>
    </w:p>
    <w:p>
      <w:pPr>
        <w:pStyle w:val="Compact"/>
        <w:numPr>
          <w:ilvl w:val="0"/>
          <w:numId w:val="1049"/>
        </w:numPr>
      </w:pPr>
      <w:r>
        <w:t xml:space="preserve">Formatação da resposta</w:t>
      </w:r>
    </w:p>
    <w:bookmarkEnd w:id="78"/>
    <w:bookmarkStart w:id="79" w:name="componentes-de-segurança-2"/>
    <w:p>
      <w:pPr>
        <w:pStyle w:val="Ttulo4"/>
      </w:pPr>
      <w:r>
        <w:t xml:space="preserve">3.3.3 Componentes de Segurança</w:t>
      </w:r>
    </w:p>
    <w:p>
      <w:pPr>
        <w:pStyle w:val="FirstParagraph"/>
      </w:pPr>
      <w:r>
        <w:t xml:space="preserve">Dado o acesso direto ao banco, a segurança é crítica:</w:t>
      </w:r>
    </w:p>
    <w:p>
      <w:pPr>
        <w:pStyle w:val="Compact"/>
        <w:numPr>
          <w:ilvl w:val="0"/>
          <w:numId w:val="1050"/>
        </w:numPr>
      </w:pPr>
      <w:r>
        <w:t xml:space="preserve">Sistema robusto de sanitização SQL</w:t>
      </w:r>
    </w:p>
    <w:p>
      <w:pPr>
        <w:pStyle w:val="Compact"/>
        <w:numPr>
          <w:ilvl w:val="0"/>
          <w:numId w:val="1050"/>
        </w:numPr>
      </w:pPr>
      <w:r>
        <w:t xml:space="preserve">Análise estática de queries</w:t>
      </w:r>
    </w:p>
    <w:p>
      <w:pPr>
        <w:pStyle w:val="Compact"/>
        <w:numPr>
          <w:ilvl w:val="0"/>
          <w:numId w:val="1050"/>
        </w:numPr>
      </w:pPr>
      <w:r>
        <w:t xml:space="preserve">Validação de tipos de dados</w:t>
      </w:r>
    </w:p>
    <w:p>
      <w:pPr>
        <w:pStyle w:val="Compact"/>
        <w:numPr>
          <w:ilvl w:val="0"/>
          <w:numId w:val="1050"/>
        </w:numPr>
      </w:pPr>
      <w:r>
        <w:t xml:space="preserve">Limites de complexidade de query</w:t>
      </w:r>
    </w:p>
    <w:p>
      <w:pPr>
        <w:pStyle w:val="Compact"/>
        <w:numPr>
          <w:ilvl w:val="0"/>
          <w:numId w:val="1050"/>
        </w:numPr>
      </w:pPr>
      <w:r>
        <w:t xml:space="preserve">Timeouts configuráveis</w:t>
      </w:r>
    </w:p>
    <w:bookmarkEnd w:id="79"/>
    <w:bookmarkStart w:id="80" w:name="implementação-da-prova-de-conceito-2"/>
    <w:p>
      <w:pPr>
        <w:pStyle w:val="Ttulo4"/>
      </w:pPr>
      <w:r>
        <w:t xml:space="preserve">3.3.4 Implementação da Prova de Conceito</w:t>
      </w:r>
    </w:p>
    <w:p>
      <w:pPr>
        <w:pStyle w:val="FirstParagraph"/>
      </w:pPr>
      <w:r>
        <w:t xml:space="preserve">A implementação utiliza tecnologias focadas em performance:</w:t>
      </w:r>
    </w:p>
    <w:p>
      <w:pPr>
        <w:pStyle w:val="Compact"/>
        <w:numPr>
          <w:ilvl w:val="0"/>
          <w:numId w:val="1051"/>
        </w:numPr>
      </w:pPr>
      <w:r>
        <w:t xml:space="preserve">Backend: Node.js</w:t>
      </w:r>
    </w:p>
    <w:p>
      <w:pPr>
        <w:pStyle w:val="Compact"/>
        <w:numPr>
          <w:ilvl w:val="0"/>
          <w:numId w:val="1051"/>
        </w:numPr>
      </w:pPr>
      <w:r>
        <w:t xml:space="preserve">LLM: GPT-3 via API OpenAI</w:t>
      </w:r>
    </w:p>
    <w:p>
      <w:pPr>
        <w:pStyle w:val="Compact"/>
        <w:numPr>
          <w:ilvl w:val="0"/>
          <w:numId w:val="1051"/>
        </w:numPr>
      </w:pPr>
      <w:r>
        <w:t xml:space="preserve">Banco de Dados: PostgreSQL</w:t>
      </w:r>
    </w:p>
    <w:p>
      <w:pPr>
        <w:pStyle w:val="Compact"/>
        <w:numPr>
          <w:ilvl w:val="0"/>
          <w:numId w:val="1051"/>
        </w:numPr>
      </w:pPr>
      <w:r>
        <w:t xml:space="preserve">Driver: node-postgres</w:t>
      </w:r>
    </w:p>
    <w:p>
      <w:pPr>
        <w:pStyle w:val="Compact"/>
        <w:numPr>
          <w:ilvl w:val="0"/>
          <w:numId w:val="1051"/>
        </w:numPr>
      </w:pPr>
      <w:r>
        <w:t xml:space="preserve">Sistema de Cache: Redis</w:t>
      </w:r>
    </w:p>
    <w:bookmarkEnd w:id="80"/>
    <w:bookmarkStart w:id="81" w:name="desenvolvimento-do-conector"/>
    <w:p>
      <w:pPr>
        <w:pStyle w:val="Ttulo4"/>
      </w:pPr>
      <w:r>
        <w:t xml:space="preserve">3.3.5 Desenvolvimento do Conector</w:t>
      </w:r>
    </w:p>
    <w:p>
      <w:pPr>
        <w:pStyle w:val="FirstParagraph"/>
      </w:pPr>
      <w:r>
        <w:t xml:space="preserve">O conector de banco de dados implementa:</w:t>
      </w:r>
    </w:p>
    <w:p>
      <w:pPr>
        <w:pStyle w:val="Compact"/>
        <w:numPr>
          <w:ilvl w:val="0"/>
          <w:numId w:val="1052"/>
        </w:numPr>
      </w:pPr>
      <w:r>
        <w:t xml:space="preserve">Pool de conexões otimizado</w:t>
      </w:r>
    </w:p>
    <w:p>
      <w:pPr>
        <w:pStyle w:val="Compact"/>
        <w:numPr>
          <w:ilvl w:val="0"/>
          <w:numId w:val="1052"/>
        </w:numPr>
      </w:pPr>
      <w:r>
        <w:t xml:space="preserve">Sistema de retry inteligente</w:t>
      </w:r>
    </w:p>
    <w:p>
      <w:pPr>
        <w:pStyle w:val="Compact"/>
        <w:numPr>
          <w:ilvl w:val="0"/>
          <w:numId w:val="1052"/>
        </w:numPr>
      </w:pPr>
      <w:r>
        <w:t xml:space="preserve">Sanitização de queries</w:t>
      </w:r>
    </w:p>
    <w:p>
      <w:pPr>
        <w:pStyle w:val="Compact"/>
        <w:numPr>
          <w:ilvl w:val="0"/>
          <w:numId w:val="1052"/>
        </w:numPr>
      </w:pPr>
      <w:r>
        <w:t xml:space="preserve">Cache adaptativo</w:t>
      </w:r>
    </w:p>
    <w:p>
      <w:pPr>
        <w:pStyle w:val="Compact"/>
        <w:numPr>
          <w:ilvl w:val="0"/>
          <w:numId w:val="1052"/>
        </w:numPr>
      </w:pPr>
      <w:r>
        <w:t xml:space="preserve">Logging detalhado</w:t>
      </w:r>
    </w:p>
    <w:p>
      <w:pPr>
        <w:pStyle w:val="Compact"/>
        <w:numPr>
          <w:ilvl w:val="0"/>
          <w:numId w:val="1052"/>
        </w:numPr>
      </w:pPr>
      <w:r>
        <w:t xml:space="preserve">Métricas em tempo real</w:t>
      </w:r>
    </w:p>
    <w:bookmarkEnd w:id="81"/>
    <w:bookmarkStart w:id="82" w:name="detalhes-técnicos-2"/>
    <w:p>
      <w:pPr>
        <w:pStyle w:val="Ttulo4"/>
      </w:pPr>
      <w:r>
        <w:t xml:space="preserve">3.3.6 Detalhes Técnicos</w:t>
      </w:r>
    </w:p>
    <w:p>
      <w:pPr>
        <w:pStyle w:val="FirstParagraph"/>
      </w:pPr>
      <w:r>
        <w:t xml:space="preserve">A implementação foca em três aspectos críticos:</w:t>
      </w:r>
    </w:p>
    <w:p>
      <w:pPr>
        <w:numPr>
          <w:ilvl w:val="0"/>
          <w:numId w:val="1053"/>
        </w:numPr>
      </w:pPr>
      <w:r>
        <w:rPr>
          <w:b/>
          <w:bCs/>
        </w:rPr>
        <w:t xml:space="preserve">Geração de SQL</w:t>
      </w:r>
    </w:p>
    <w:p>
      <w:pPr>
        <w:pStyle w:val="Compact"/>
        <w:numPr>
          <w:ilvl w:val="1"/>
          <w:numId w:val="1054"/>
        </w:numPr>
      </w:pPr>
      <w:r>
        <w:t xml:space="preserve">Templates de queries otimizadas</w:t>
      </w:r>
    </w:p>
    <w:p>
      <w:pPr>
        <w:pStyle w:val="Compact"/>
        <w:numPr>
          <w:ilvl w:val="1"/>
          <w:numId w:val="1054"/>
        </w:numPr>
      </w:pPr>
      <w:r>
        <w:t xml:space="preserve">Análise de plano de execução</w:t>
      </w:r>
    </w:p>
    <w:p>
      <w:pPr>
        <w:pStyle w:val="Compact"/>
        <w:numPr>
          <w:ilvl w:val="1"/>
          <w:numId w:val="1054"/>
        </w:numPr>
      </w:pPr>
      <w:r>
        <w:t xml:space="preserve">Otimização automática</w:t>
      </w:r>
    </w:p>
    <w:p>
      <w:pPr>
        <w:pStyle w:val="Compact"/>
        <w:numPr>
          <w:ilvl w:val="1"/>
          <w:numId w:val="1054"/>
        </w:numPr>
      </w:pPr>
      <w:r>
        <w:t xml:space="preserve">Validação sintática</w:t>
      </w:r>
    </w:p>
    <w:p>
      <w:pPr>
        <w:numPr>
          <w:ilvl w:val="0"/>
          <w:numId w:val="1053"/>
        </w:numPr>
      </w:pPr>
      <w:r>
        <w:rPr>
          <w:b/>
          <w:bCs/>
        </w:rPr>
        <w:t xml:space="preserve">Performance</w:t>
      </w:r>
    </w:p>
    <w:p>
      <w:pPr>
        <w:pStyle w:val="Compact"/>
        <w:numPr>
          <w:ilvl w:val="1"/>
          <w:numId w:val="1055"/>
        </w:numPr>
      </w:pPr>
      <w:r>
        <w:t xml:space="preserve">Connection pooling</w:t>
      </w:r>
    </w:p>
    <w:p>
      <w:pPr>
        <w:pStyle w:val="Compact"/>
        <w:numPr>
          <w:ilvl w:val="1"/>
          <w:numId w:val="1055"/>
        </w:numPr>
      </w:pPr>
      <w:r>
        <w:t xml:space="preserve">Query caching</w:t>
      </w:r>
    </w:p>
    <w:p>
      <w:pPr>
        <w:pStyle w:val="Compact"/>
        <w:numPr>
          <w:ilvl w:val="1"/>
          <w:numId w:val="1055"/>
        </w:numPr>
      </w:pPr>
      <w:r>
        <w:t xml:space="preserve">Bulk operations</w:t>
      </w:r>
    </w:p>
    <w:p>
      <w:pPr>
        <w:pStyle w:val="Compact"/>
        <w:numPr>
          <w:ilvl w:val="1"/>
          <w:numId w:val="1055"/>
        </w:numPr>
      </w:pPr>
      <w:r>
        <w:t xml:space="preserve">Índices automáticos</w:t>
      </w:r>
    </w:p>
    <w:p>
      <w:pPr>
        <w:numPr>
          <w:ilvl w:val="0"/>
          <w:numId w:val="1053"/>
        </w:numPr>
      </w:pPr>
      <w:r>
        <w:rPr>
          <w:b/>
          <w:bCs/>
        </w:rPr>
        <w:t xml:space="preserve">Segurança</w:t>
      </w:r>
    </w:p>
    <w:p>
      <w:pPr>
        <w:pStyle w:val="Compact"/>
        <w:numPr>
          <w:ilvl w:val="1"/>
          <w:numId w:val="1056"/>
        </w:numPr>
      </w:pPr>
      <w:r>
        <w:t xml:space="preserve">Análise de injeção SQL</w:t>
      </w:r>
    </w:p>
    <w:p>
      <w:pPr>
        <w:pStyle w:val="Compact"/>
        <w:numPr>
          <w:ilvl w:val="1"/>
          <w:numId w:val="1056"/>
        </w:numPr>
      </w:pPr>
      <w:r>
        <w:t xml:space="preserve">Validação de schemas</w:t>
      </w:r>
    </w:p>
    <w:p>
      <w:pPr>
        <w:pStyle w:val="Compact"/>
        <w:numPr>
          <w:ilvl w:val="1"/>
          <w:numId w:val="1056"/>
        </w:numPr>
      </w:pPr>
      <w:r>
        <w:t xml:space="preserve">Rate limiting</w:t>
      </w:r>
    </w:p>
    <w:p>
      <w:pPr>
        <w:pStyle w:val="Compact"/>
        <w:numPr>
          <w:ilvl w:val="1"/>
          <w:numId w:val="1056"/>
        </w:numPr>
      </w:pPr>
      <w:r>
        <w:t xml:space="preserve">Auditoria de acessos</w:t>
      </w:r>
    </w:p>
    <w:bookmarkEnd w:id="82"/>
    <w:bookmarkStart w:id="83" w:name="avaliação-e-métricas-2"/>
    <w:p>
      <w:pPr>
        <w:pStyle w:val="Ttulo4"/>
      </w:pPr>
      <w:r>
        <w:t xml:space="preserve">3.3.7 Avaliação e Métricas</w:t>
      </w:r>
    </w:p>
    <w:p>
      <w:pPr>
        <w:pStyle w:val="FirstParagraph"/>
      </w:pPr>
      <w:r>
        <w:t xml:space="preserve">A avaliação considera aspectos específicos:</w:t>
      </w:r>
    </w:p>
    <w:p>
      <w:pPr>
        <w:numPr>
          <w:ilvl w:val="0"/>
          <w:numId w:val="1057"/>
        </w:numPr>
      </w:pPr>
      <w:r>
        <w:rPr>
          <w:b/>
          <w:bCs/>
        </w:rPr>
        <w:t xml:space="preserve">Performance</w:t>
      </w:r>
    </w:p>
    <w:p>
      <w:pPr>
        <w:pStyle w:val="Compact"/>
        <w:numPr>
          <w:ilvl w:val="1"/>
          <w:numId w:val="1058"/>
        </w:numPr>
      </w:pPr>
      <w:r>
        <w:t xml:space="preserve">Latência de queries</w:t>
      </w:r>
    </w:p>
    <w:p>
      <w:pPr>
        <w:pStyle w:val="Compact"/>
        <w:numPr>
          <w:ilvl w:val="1"/>
          <w:numId w:val="1058"/>
        </w:numPr>
      </w:pPr>
      <w:r>
        <w:t xml:space="preserve">Throughput do sistema</w:t>
      </w:r>
    </w:p>
    <w:p>
      <w:pPr>
        <w:pStyle w:val="Compact"/>
        <w:numPr>
          <w:ilvl w:val="1"/>
          <w:numId w:val="1058"/>
        </w:numPr>
      </w:pPr>
      <w:r>
        <w:t xml:space="preserve">Uso de recursos</w:t>
      </w:r>
    </w:p>
    <w:p>
      <w:pPr>
        <w:pStyle w:val="Compact"/>
        <w:numPr>
          <w:ilvl w:val="1"/>
          <w:numId w:val="1058"/>
        </w:numPr>
      </w:pPr>
      <w:r>
        <w:t xml:space="preserve">Hit rate do cache</w:t>
      </w:r>
    </w:p>
    <w:p>
      <w:pPr>
        <w:numPr>
          <w:ilvl w:val="0"/>
          <w:numId w:val="1057"/>
        </w:numPr>
      </w:pPr>
      <w:r>
        <w:rPr>
          <w:b/>
          <w:bCs/>
        </w:rPr>
        <w:t xml:space="preserve">Segurança</w:t>
      </w:r>
    </w:p>
    <w:p>
      <w:pPr>
        <w:pStyle w:val="Compact"/>
        <w:numPr>
          <w:ilvl w:val="1"/>
          <w:numId w:val="1059"/>
        </w:numPr>
      </w:pPr>
      <w:r>
        <w:t xml:space="preserve">Taxa de detecção de injeção</w:t>
      </w:r>
    </w:p>
    <w:p>
      <w:pPr>
        <w:pStyle w:val="Compact"/>
        <w:numPr>
          <w:ilvl w:val="1"/>
          <w:numId w:val="1059"/>
        </w:numPr>
      </w:pPr>
      <w:r>
        <w:t xml:space="preserve">Cobertura de validação</w:t>
      </w:r>
    </w:p>
    <w:p>
      <w:pPr>
        <w:pStyle w:val="Compact"/>
        <w:numPr>
          <w:ilvl w:val="1"/>
          <w:numId w:val="1059"/>
        </w:numPr>
      </w:pPr>
      <w:r>
        <w:t xml:space="preserve">Eficácia do controle de acesso</w:t>
      </w:r>
    </w:p>
    <w:p>
      <w:pPr>
        <w:pStyle w:val="Compact"/>
        <w:numPr>
          <w:ilvl w:val="1"/>
          <w:numId w:val="1059"/>
        </w:numPr>
      </w:pPr>
      <w:r>
        <w:t xml:space="preserve">Precisão da auditoria</w:t>
      </w:r>
    </w:p>
    <w:p>
      <w:pPr>
        <w:numPr>
          <w:ilvl w:val="0"/>
          <w:numId w:val="1057"/>
        </w:numPr>
      </w:pPr>
      <w:r>
        <w:rPr>
          <w:b/>
          <w:bCs/>
        </w:rPr>
        <w:t xml:space="preserve">Confiabilidade</w:t>
      </w:r>
    </w:p>
    <w:p>
      <w:pPr>
        <w:pStyle w:val="Compact"/>
        <w:numPr>
          <w:ilvl w:val="1"/>
          <w:numId w:val="1060"/>
        </w:numPr>
      </w:pPr>
      <w:r>
        <w:t xml:space="preserve">Taxa de erros</w:t>
      </w:r>
    </w:p>
    <w:p>
      <w:pPr>
        <w:pStyle w:val="Compact"/>
        <w:numPr>
          <w:ilvl w:val="1"/>
          <w:numId w:val="1060"/>
        </w:numPr>
      </w:pPr>
      <w:r>
        <w:t xml:space="preserve">Tempo de recuperação</w:t>
      </w:r>
    </w:p>
    <w:p>
      <w:pPr>
        <w:pStyle w:val="Compact"/>
        <w:numPr>
          <w:ilvl w:val="1"/>
          <w:numId w:val="1060"/>
        </w:numPr>
      </w:pPr>
      <w:r>
        <w:t xml:space="preserve">Consistência dos dados</w:t>
      </w:r>
    </w:p>
    <w:p>
      <w:pPr>
        <w:pStyle w:val="Compact"/>
        <w:numPr>
          <w:ilvl w:val="1"/>
          <w:numId w:val="1060"/>
        </w:numPr>
      </w:pPr>
      <w:r>
        <w:t xml:space="preserve">Disponibilidade do sistema</w:t>
      </w:r>
    </w:p>
    <w:bookmarkEnd w:id="83"/>
    <w:bookmarkStart w:id="84" w:name="considerações-práticas-2"/>
    <w:p>
      <w:pPr>
        <w:pStyle w:val="Ttulo4"/>
      </w:pPr>
      <w:r>
        <w:t xml:space="preserve">3.3.8 Considerações Práticas</w:t>
      </w:r>
    </w:p>
    <w:p>
      <w:pPr>
        <w:pStyle w:val="FirstParagraph"/>
      </w:pPr>
      <w:r>
        <w:t xml:space="preserve">A implementação revelou aspectos importantes:</w:t>
      </w:r>
    </w:p>
    <w:p>
      <w:pPr>
        <w:numPr>
          <w:ilvl w:val="0"/>
          <w:numId w:val="1061"/>
        </w:numPr>
      </w:pPr>
      <w:r>
        <w:rPr>
          <w:b/>
          <w:bCs/>
        </w:rPr>
        <w:t xml:space="preserve">Desafios</w:t>
      </w:r>
    </w:p>
    <w:p>
      <w:pPr>
        <w:pStyle w:val="Compact"/>
        <w:numPr>
          <w:ilvl w:val="1"/>
          <w:numId w:val="1062"/>
        </w:numPr>
      </w:pPr>
      <w:r>
        <w:t xml:space="preserve">Complexidade de validação</w:t>
      </w:r>
    </w:p>
    <w:p>
      <w:pPr>
        <w:pStyle w:val="Compact"/>
        <w:numPr>
          <w:ilvl w:val="1"/>
          <w:numId w:val="1062"/>
        </w:numPr>
      </w:pPr>
      <w:r>
        <w:t xml:space="preserve">Gestão de conexões</w:t>
      </w:r>
    </w:p>
    <w:p>
      <w:pPr>
        <w:pStyle w:val="Compact"/>
        <w:numPr>
          <w:ilvl w:val="1"/>
          <w:numId w:val="1062"/>
        </w:numPr>
      </w:pPr>
      <w:r>
        <w:t xml:space="preserve">Otimização de queries</w:t>
      </w:r>
    </w:p>
    <w:p>
      <w:pPr>
        <w:pStyle w:val="Compact"/>
        <w:numPr>
          <w:ilvl w:val="1"/>
          <w:numId w:val="1062"/>
        </w:numPr>
      </w:pPr>
      <w:r>
        <w:t xml:space="preserve">Segurança robusta</w:t>
      </w:r>
    </w:p>
    <w:p>
      <w:pPr>
        <w:numPr>
          <w:ilvl w:val="0"/>
          <w:numId w:val="1061"/>
        </w:numPr>
      </w:pPr>
      <w:r>
        <w:rPr>
          <w:b/>
          <w:bCs/>
        </w:rPr>
        <w:t xml:space="preserve">Infraestrutura</w:t>
      </w:r>
    </w:p>
    <w:p>
      <w:pPr>
        <w:pStyle w:val="Compact"/>
        <w:numPr>
          <w:ilvl w:val="1"/>
          <w:numId w:val="1063"/>
        </w:numPr>
      </w:pPr>
      <w:r>
        <w:t xml:space="preserve">Alta disponibilidade</w:t>
      </w:r>
    </w:p>
    <w:p>
      <w:pPr>
        <w:pStyle w:val="Compact"/>
        <w:numPr>
          <w:ilvl w:val="1"/>
          <w:numId w:val="1063"/>
        </w:numPr>
      </w:pPr>
      <w:r>
        <w:t xml:space="preserve">Backup em tempo real</w:t>
      </w:r>
    </w:p>
    <w:p>
      <w:pPr>
        <w:pStyle w:val="Compact"/>
        <w:numPr>
          <w:ilvl w:val="1"/>
          <w:numId w:val="1063"/>
        </w:numPr>
      </w:pPr>
      <w:r>
        <w:t xml:space="preserve">Monitoramento intensivo</w:t>
      </w:r>
    </w:p>
    <w:p>
      <w:pPr>
        <w:pStyle w:val="Compact"/>
        <w:numPr>
          <w:ilvl w:val="1"/>
          <w:numId w:val="1063"/>
        </w:numPr>
      </w:pPr>
      <w:r>
        <w:t xml:space="preserve">Escalabilidade vertical</w:t>
      </w:r>
    </w:p>
    <w:p>
      <w:pPr>
        <w:numPr>
          <w:ilvl w:val="0"/>
          <w:numId w:val="1061"/>
        </w:numPr>
      </w:pPr>
      <w:r>
        <w:rPr>
          <w:b/>
          <w:bCs/>
        </w:rPr>
        <w:t xml:space="preserve">Manutenção</w:t>
      </w:r>
    </w:p>
    <w:p>
      <w:pPr>
        <w:pStyle w:val="Compact"/>
        <w:numPr>
          <w:ilvl w:val="1"/>
          <w:numId w:val="1064"/>
        </w:numPr>
      </w:pPr>
      <w:r>
        <w:t xml:space="preserve">Atualizações de schema</w:t>
      </w:r>
    </w:p>
    <w:p>
      <w:pPr>
        <w:pStyle w:val="Compact"/>
        <w:numPr>
          <w:ilvl w:val="1"/>
          <w:numId w:val="1064"/>
        </w:numPr>
      </w:pPr>
      <w:r>
        <w:t xml:space="preserve">Otimização contínua</w:t>
      </w:r>
    </w:p>
    <w:p>
      <w:pPr>
        <w:pStyle w:val="Compact"/>
        <w:numPr>
          <w:ilvl w:val="1"/>
          <w:numId w:val="1064"/>
        </w:numPr>
      </w:pPr>
      <w:r>
        <w:t xml:space="preserve">Análise de logs</w:t>
      </w:r>
    </w:p>
    <w:p>
      <w:pPr>
        <w:pStyle w:val="Compact"/>
        <w:numPr>
          <w:ilvl w:val="1"/>
          <w:numId w:val="1064"/>
        </w:numPr>
      </w:pPr>
      <w:r>
        <w:t xml:space="preserve">Gestão de índices</w:t>
      </w:r>
    </w:p>
    <w:p>
      <w:pPr>
        <w:pStyle w:val="FirstParagraph"/>
      </w:pPr>
      <w:r>
        <w:t xml:space="preserve">Esta abordagem, embora mais complexa em termos de segurança e manutenção, oferece máxima flexibilidade e performance para casos de uso específicos onde o controle direto sobre as operações de banco de dados é necessário.</w:t>
      </w:r>
    </w:p>
    <w:bookmarkEnd w:id="84"/>
    <w:bookmarkEnd w:id="85"/>
    <w:bookmarkEnd w:id="86"/>
    <w:bookmarkEnd w:id="87"/>
    <w:bookmarkStart w:id="88" w:name="resultados-e-discussões"/>
    <w:p>
      <w:pPr>
        <w:pStyle w:val="Ttulo1"/>
      </w:pPr>
      <w:r>
        <w:t xml:space="preserve">4 RESULTADOS E DISCUSSÕES</w:t>
      </w:r>
    </w:p>
    <w:p>
      <w:pPr>
        <w:pStyle w:val="FirstParagraph"/>
      </w:pPr>
      <w:r>
        <w:t xml:space="preserve">Nos Resultados e Discussões, deve-se apresentar os resultados obtidos no</w:t>
      </w:r>
      <w:r>
        <w:t xml:space="preserve"> </w:t>
      </w:r>
      <w:r>
        <w:t xml:space="preserve">Procedimento Experimental e fazer uma discussão e análise sobre os</w:t>
      </w:r>
      <w:r>
        <w:t xml:space="preserve"> </w:t>
      </w:r>
      <w:r>
        <w:t xml:space="preserve">mesmos sempre que possível referenciando a literatura pesquisada.</w:t>
      </w:r>
    </w:p>
    <w:bookmarkEnd w:id="88"/>
    <w:bookmarkStart w:id="89" w:name="considerações-finais"/>
    <w:p>
      <w:pPr>
        <w:pStyle w:val="Ttulo1"/>
      </w:pPr>
      <w:r>
        <w:t xml:space="preserve">5 CONSIDERAÇÕES FINAIS</w:t>
      </w:r>
    </w:p>
    <w:p>
      <w:pPr>
        <w:pStyle w:val="FirstParagraph"/>
      </w:pPr>
      <w:r>
        <w:t xml:space="preserve">Etapa esta que servirá para você evidenciar as conquistas alcançadas com</w:t>
      </w:r>
      <w:r>
        <w:t xml:space="preserve"> </w:t>
      </w:r>
      <w:r>
        <w:t xml:space="preserve">o estudo e indicar as limitações e as reconsiderações. Além disso, você</w:t>
      </w:r>
      <w:r>
        <w:t xml:space="preserve"> </w:t>
      </w:r>
      <w:r>
        <w:t xml:space="preserve">poderá apontar a relação entre fatos verificados e teoria e mostrar a</w:t>
      </w:r>
      <w:r>
        <w:t xml:space="preserve"> </w:t>
      </w:r>
      <w:r>
        <w:t xml:space="preserve">contribuição da pesquisa para o meio acadêmico, empresarial e/ou para o</w:t>
      </w:r>
      <w:r>
        <w:t xml:space="preserve"> </w:t>
      </w:r>
      <w:r>
        <w:t xml:space="preserve">desenvolvimento da ciência e tecnologia. Além disso, você poderá sugerir</w:t>
      </w:r>
      <w:r>
        <w:t xml:space="preserve"> </w:t>
      </w:r>
      <w:r>
        <w:t xml:space="preserve">temas complementares a sua pesquisa para estudos futuros. Responda aqui</w:t>
      </w:r>
      <w:r>
        <w:t xml:space="preserve"> </w:t>
      </w:r>
      <w:r>
        <w:t xml:space="preserve">a sua pergunta-problema de pesquisa.</w:t>
      </w:r>
    </w:p>
    <w:bookmarkEnd w:id="89"/>
    <w:bookmarkStart w:id="150" w:name="referências"/>
    <w:p>
      <w:pPr>
        <w:pStyle w:val="Ttulo1"/>
      </w:pPr>
      <w:r>
        <w:t xml:space="preserve">REFERÊNCIAS</w:t>
      </w:r>
    </w:p>
    <w:bookmarkStart w:id="149" w:name="refs"/>
    <w:bookmarkStart w:id="91" w:name="ref-anthropic2024context"/>
    <w:p>
      <w:pPr>
        <w:pStyle w:val="Bibliography"/>
      </w:pPr>
      <w:r>
        <w:t xml:space="preserve">ANTHROPIC.</w:t>
      </w:r>
      <w:r>
        <w:t xml:space="preserve"> </w:t>
      </w:r>
      <w:r>
        <w:rPr>
          <w:b/>
          <w:bCs/>
        </w:rPr>
        <w:t xml:space="preserve">Anthropic Now Offers 100K Context Windows for Claude 3 Models</w:t>
      </w:r>
      <w:r>
        <w:t xml:space="preserve">. Disponível em: &lt;</w:t>
      </w:r>
      <w:hyperlink r:id="rId90">
        <w:r>
          <w:rPr>
            <w:rStyle w:val="Hyperlink"/>
          </w:rPr>
          <w:t xml:space="preserve">https://www.anthropic.com/news/100k-context-windows</w:t>
        </w:r>
      </w:hyperlink>
      <w:r>
        <w:t xml:space="preserve">&gt;.</w:t>
      </w:r>
    </w:p>
    <w:bookmarkEnd w:id="91"/>
    <w:bookmarkStart w:id="93"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92">
        <w:r>
          <w:rPr>
            <w:rStyle w:val="Hyperlink"/>
          </w:rPr>
          <w:t xml:space="preserve">https://www.anthropic.com/news/model-context-protocol</w:t>
        </w:r>
      </w:hyperlink>
      <w:r>
        <w:t xml:space="preserve">&gt;. Acesso em: 12 abr. 2025b.</w:t>
      </w:r>
    </w:p>
    <w:bookmarkEnd w:id="93"/>
    <w:bookmarkStart w:id="94" w:name="ref-Anthropic2024"/>
    <w:p>
      <w:pPr>
        <w:pStyle w:val="Bibliography"/>
      </w:pPr>
      <w:r>
        <w:t xml:space="preserve">ANTHROPIC.</w:t>
      </w:r>
      <w:r>
        <w:t xml:space="preserve"> </w:t>
      </w:r>
      <w:r>
        <w:rPr>
          <w:b/>
          <w:bCs/>
        </w:rPr>
        <w:t xml:space="preserve">Introducing the Model Context Protocol</w:t>
      </w:r>
      <w:r>
        <w:t xml:space="preserve">. Anthropic News, nov. c2024. Disponível em: &lt;</w:t>
      </w:r>
      <w:hyperlink r:id="rId92">
        <w:r>
          <w:rPr>
            <w:rStyle w:val="Hyperlink"/>
          </w:rPr>
          <w:t xml:space="preserve">https://www.anthropic.com/news/model-context-protocol</w:t>
        </w:r>
      </w:hyperlink>
      <w:r>
        <w:t xml:space="preserve">&gt;</w:t>
      </w:r>
    </w:p>
    <w:bookmarkEnd w:id="94"/>
    <w:bookmarkStart w:id="96"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95">
        <w:r>
          <w:rPr>
            <w:rStyle w:val="Hyperlink"/>
          </w:rPr>
          <w:t xml:space="preserve">https://developers.redhat.com/blog/2024/10/25/building-agents-large-language-modelsllms-and-nodejs</w:t>
        </w:r>
      </w:hyperlink>
      <w:r>
        <w:t xml:space="preserve">, 2024.</w:t>
      </w:r>
    </w:p>
    <w:bookmarkEnd w:id="96"/>
    <w:bookmarkStart w:id="98" w:name="X5cd88a006cf9f57df3e817769ba481705a9af6b"/>
    <w:p>
      <w:pPr>
        <w:pStyle w:val="Bibliography"/>
      </w:pPr>
      <w:r>
        <w:t xml:space="preserve">BROWN, T. B. et al.</w:t>
      </w:r>
      <w:r>
        <w:t xml:space="preserve"> </w:t>
      </w:r>
      <w:r>
        <w:rPr>
          <w:b/>
          <w:bCs/>
        </w:rPr>
        <w:t xml:space="preserve">Language Models are Few-Shot Learners</w:t>
      </w:r>
      <w:r>
        <w:t xml:space="preserve">., 2020. Disponível em: &lt;</w:t>
      </w:r>
      <w:hyperlink r:id="rId97">
        <w:r>
          <w:rPr>
            <w:rStyle w:val="Hyperlink"/>
          </w:rPr>
          <w:t xml:space="preserve">https://arxiv.org/abs/2005.14165</w:t>
        </w:r>
      </w:hyperlink>
      <w:r>
        <w:t xml:space="preserve">&gt;</w:t>
      </w:r>
    </w:p>
    <w:bookmarkEnd w:id="98"/>
    <w:bookmarkStart w:id="100"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99">
        <w:r>
          <w:rPr>
            <w:rStyle w:val="Hyperlink"/>
          </w:rPr>
          <w:t xml:space="preserve">https://hal.science/hal-04545073</w:t>
        </w:r>
      </w:hyperlink>
      <w:r>
        <w:t xml:space="preserve">&gt;</w:t>
      </w:r>
    </w:p>
    <w:bookmarkEnd w:id="100"/>
    <w:bookmarkStart w:id="102" w:name="ref-Deng2023AMA"/>
    <w:p>
      <w:pPr>
        <w:pStyle w:val="Bibliography"/>
      </w:pPr>
      <w:r>
        <w:t xml:space="preserve">DENG, X.</w:t>
      </w:r>
      <w:r>
        <w:t xml:space="preserve"> </w:t>
      </w:r>
      <w:hyperlink r:id="rId101">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102"/>
    <w:bookmarkStart w:id="104" w:name="ref-enterprisedb2023security"/>
    <w:p>
      <w:pPr>
        <w:pStyle w:val="Bibliography"/>
      </w:pPr>
      <w:r>
        <w:t xml:space="preserve">ENTERPRISEDB.</w:t>
      </w:r>
      <w:r>
        <w:t xml:space="preserve"> </w:t>
      </w:r>
      <w:r>
        <w:rPr>
          <w:b/>
          <w:bCs/>
        </w:rPr>
        <w:t xml:space="preserve">EnterpriseDB Raises the Bar for Postgres Security and Compliance</w:t>
      </w:r>
      <w:r>
        <w:t xml:space="preserve">. Disponível em: &lt;</w:t>
      </w:r>
      <w:hyperlink r:id="rId103">
        <w:r>
          <w:rPr>
            <w:rStyle w:val="Hyperlink"/>
          </w:rPr>
          <w:t xml:space="preserve">https://www.enterprisedb.com/news/enterprisedb-raises-bar-postgres-security-compliance</w:t>
        </w:r>
      </w:hyperlink>
      <w:r>
        <w:t xml:space="preserve">&gt;. Acesso em: 12 abr. 2025b.</w:t>
      </w:r>
    </w:p>
    <w:bookmarkEnd w:id="104"/>
    <w:bookmarkStart w:id="106" w:name="ref-enterprisedb2023postgresql"/>
    <w:p>
      <w:pPr>
        <w:pStyle w:val="Bibliography"/>
      </w:pPr>
      <w:r>
        <w:t xml:space="preserve">ENTERPRISEDB.</w:t>
      </w:r>
      <w:r>
        <w:t xml:space="preserve"> </w:t>
      </w:r>
      <w:r>
        <w:rPr>
          <w:b/>
          <w:bCs/>
        </w:rPr>
        <w:t xml:space="preserve">Postgres is the Most Admired Database in Stack Overflow 2023 Survey</w:t>
      </w:r>
      <w:r>
        <w:t xml:space="preserve">. Disponível em: &lt;</w:t>
      </w:r>
      <w:hyperlink r:id="rId105">
        <w:r>
          <w:rPr>
            <w:rStyle w:val="Hyperlink"/>
          </w:rPr>
          <w:t xml:space="preserve">https://www.enterprisedb.com/blog/postgres-most-admired-database-in-stack-overflow-2023</w:t>
        </w:r>
      </w:hyperlink>
      <w:r>
        <w:t xml:space="preserve">&gt;. Acesso em: 12 abr. 2025a.</w:t>
      </w:r>
    </w:p>
    <w:bookmarkEnd w:id="106"/>
    <w:bookmarkStart w:id="108"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107">
        <w:r>
          <w:rPr>
            <w:rStyle w:val="Hyperlink"/>
          </w:rPr>
          <w:t xml:space="preserve">https://arxiv.org/abs/1707.05015</w:t>
        </w:r>
      </w:hyperlink>
      <w:r>
        <w:t xml:space="preserve">&gt;</w:t>
      </w:r>
    </w:p>
    <w:bookmarkEnd w:id="108"/>
    <w:bookmarkStart w:id="110"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109">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110"/>
    <w:bookmarkStart w:id="112" w:name="ref-inie2025summon"/>
    <w:p>
      <w:pPr>
        <w:pStyle w:val="Bibliography"/>
      </w:pPr>
      <w:r>
        <w:t xml:space="preserve">INIE, N.; STRAY, J.; DERCZYNSKI, L.</w:t>
      </w:r>
      <w:r>
        <w:t xml:space="preserve"> </w:t>
      </w:r>
      <w:hyperlink r:id="rId111">
        <w:r>
          <w:rPr>
            <w:rStyle w:val="Hyperlink"/>
          </w:rPr>
          <w:t xml:space="preserve">Summon a demon and bind it: A grounded theory of LLM red teaming</w:t>
        </w:r>
      </w:hyperlink>
      <w:r>
        <w:t xml:space="preserve">.</w:t>
      </w:r>
      <w:r>
        <w:t xml:space="preserve"> </w:t>
      </w:r>
      <w:r>
        <w:rPr>
          <w:b/>
          <w:bCs/>
        </w:rPr>
        <w:t xml:space="preserve">PloS one</w:t>
      </w:r>
      <w:r>
        <w:t xml:space="preserve">, v. 20, n. 1, p. e0314658, 2025.</w:t>
      </w:r>
    </w:p>
    <w:bookmarkEnd w:id="112"/>
    <w:bookmarkStart w:id="114" w:name="ref-john2025owasp"/>
    <w:p>
      <w:pPr>
        <w:pStyle w:val="Bibliography"/>
      </w:pPr>
      <w:r>
        <w:t xml:space="preserve">JOHN, S. et al.</w:t>
      </w:r>
      <w:r>
        <w:t xml:space="preserve"> </w:t>
      </w:r>
      <w:hyperlink r:id="rId113">
        <w:r>
          <w:rPr>
            <w:rStyle w:val="Hyperlink"/>
            <w:b/>
            <w:bCs/>
          </w:rPr>
          <w:t xml:space="preserve">OWASP Top 10 for LLM Apps &amp; Gen AI Agentic Security Initiative</w:t>
        </w:r>
      </w:hyperlink>
      <w:r>
        <w:t xml:space="preserve">. tese de doutorado—[s.l.] OWASP, 2025.</w:t>
      </w:r>
    </w:p>
    <w:bookmarkEnd w:id="114"/>
    <w:bookmarkStart w:id="116" w:name="ref-Kocaballi2019"/>
    <w:p>
      <w:pPr>
        <w:pStyle w:val="Bibliography"/>
      </w:pPr>
      <w:r>
        <w:t xml:space="preserve">KOCABALLI, A. B. et al.</w:t>
      </w:r>
      <w:r>
        <w:t xml:space="preserve"> </w:t>
      </w:r>
      <w:hyperlink r:id="rId115">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116"/>
    <w:bookmarkStart w:id="118" w:name="ref-Lister2020AccessibleCU"/>
    <w:p>
      <w:pPr>
        <w:pStyle w:val="Bibliography"/>
      </w:pPr>
      <w:r>
        <w:t xml:space="preserve">LISTER, K. et al.</w:t>
      </w:r>
      <w:r>
        <w:t xml:space="preserve"> </w:t>
      </w:r>
      <w:hyperlink r:id="rId117">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118"/>
    <w:bookmarkStart w:id="120"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119">
        <w:r>
          <w:rPr>
            <w:rStyle w:val="Hyperlink"/>
          </w:rPr>
          <w:t xml:space="preserve">https://modelcontextprotocol.io/introduction</w:t>
        </w:r>
      </w:hyperlink>
      <w:r>
        <w:t xml:space="preserve">&gt;</w:t>
      </w:r>
    </w:p>
    <w:bookmarkEnd w:id="120"/>
    <w:bookmarkStart w:id="122" w:name="ref-mcp2025spec"/>
    <w:p>
      <w:pPr>
        <w:pStyle w:val="Bibliography"/>
      </w:pPr>
      <w:r>
        <w:t xml:space="preserve">MODEL CONTEXT PROTOCOL TEAM.</w:t>
      </w:r>
      <w:r>
        <w:t xml:space="preserve"> </w:t>
      </w:r>
      <w:r>
        <w:rPr>
          <w:b/>
          <w:bCs/>
        </w:rPr>
        <w:t xml:space="preserve">Model Context Protocol Specification</w:t>
      </w:r>
      <w:r>
        <w:t xml:space="preserve">. [s.l.] Model Context Protocol, 26 mar. 2025. Disponível em: &lt;</w:t>
      </w:r>
      <w:hyperlink r:id="rId121">
        <w:r>
          <w:rPr>
            <w:rStyle w:val="Hyperlink"/>
          </w:rPr>
          <w:t xml:space="preserve">https://modelcontextprotocol.io/specification/2025-03-26/index</w:t>
        </w:r>
      </w:hyperlink>
      <w:r>
        <w:t xml:space="preserve">&gt;. Acesso em: 12 abr. 2025.</w:t>
      </w:r>
    </w:p>
    <w:bookmarkEnd w:id="122"/>
    <w:bookmarkStart w:id="124"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123">
        <w:r>
          <w:rPr>
            <w:rStyle w:val="Hyperlink"/>
          </w:rPr>
          <w:t xml:space="preserve">https://openai.com/index/instruction-following/</w:t>
        </w:r>
      </w:hyperlink>
      <w:r>
        <w:t xml:space="preserve">&gt;. Acesso em: 12 abr. 2025.</w:t>
      </w:r>
    </w:p>
    <w:bookmarkEnd w:id="124"/>
    <w:bookmarkStart w:id="126" w:name="ref-openai2023gpt4"/>
    <w:p>
      <w:pPr>
        <w:pStyle w:val="Bibliography"/>
      </w:pPr>
      <w:r>
        <w:t xml:space="preserve">OPENAI.</w:t>
      </w:r>
      <w:r>
        <w:t xml:space="preserve"> </w:t>
      </w:r>
      <w:r>
        <w:rPr>
          <w:b/>
          <w:bCs/>
        </w:rPr>
        <w:t xml:space="preserve">GPT-4 Research</w:t>
      </w:r>
      <w:r>
        <w:t xml:space="preserve">. [s.l.] OpenAI, a2023. Disponível em: &lt;</w:t>
      </w:r>
      <w:hyperlink r:id="rId125">
        <w:r>
          <w:rPr>
            <w:rStyle w:val="Hyperlink"/>
          </w:rPr>
          <w:t xml:space="preserve">https://openai.com/index/gpt-4-research/</w:t>
        </w:r>
      </w:hyperlink>
      <w:r>
        <w:t xml:space="preserve">&gt;.</w:t>
      </w:r>
    </w:p>
    <w:bookmarkEnd w:id="126"/>
    <w:bookmarkStart w:id="128"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127">
        <w:r>
          <w:rPr>
            <w:rStyle w:val="Hyperlink"/>
          </w:rPr>
          <w:t xml:space="preserve">https://openai.com/index/function-calling-and-other-api-updates/</w:t>
        </w:r>
      </w:hyperlink>
      <w:r>
        <w:t xml:space="preserve">&gt;. Acesso em: 12 abr. 2025b.</w:t>
      </w:r>
    </w:p>
    <w:bookmarkEnd w:id="128"/>
    <w:bookmarkStart w:id="130" w:name="ref-OpenAI2023"/>
    <w:p>
      <w:pPr>
        <w:pStyle w:val="Bibliography"/>
      </w:pPr>
      <w:r>
        <w:t xml:space="preserve">OPENAI.</w:t>
      </w:r>
      <w:r>
        <w:t xml:space="preserve"> </w:t>
      </w:r>
      <w:r>
        <w:rPr>
          <w:b/>
          <w:bCs/>
        </w:rPr>
        <w:t xml:space="preserve">ChatGPT plugins</w:t>
      </w:r>
      <w:r>
        <w:t xml:space="preserve">. OpenAI Product Blog, mar. c2023. Disponível em: &lt;</w:t>
      </w:r>
      <w:hyperlink r:id="rId129">
        <w:r>
          <w:rPr>
            <w:rStyle w:val="Hyperlink"/>
          </w:rPr>
          <w:t xml:space="preserve">https://openai.com/blog/chatgpt-plugins</w:t>
        </w:r>
      </w:hyperlink>
      <w:r>
        <w:t xml:space="preserve">&gt;</w:t>
      </w:r>
    </w:p>
    <w:bookmarkEnd w:id="130"/>
    <w:bookmarkStart w:id="132"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131">
        <w:r>
          <w:rPr>
            <w:rStyle w:val="Hyperlink"/>
          </w:rPr>
          <w:t xml:space="preserve">https://learn.openapis.org/docs/getting-started</w:t>
        </w:r>
      </w:hyperlink>
      <w:r>
        <w:t xml:space="preserve">&gt;</w:t>
      </w:r>
    </w:p>
    <w:bookmarkEnd w:id="132"/>
    <w:bookmarkStart w:id="134"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133">
        <w:r>
          <w:rPr>
            <w:rStyle w:val="Hyperlink"/>
          </w:rPr>
          <w:t xml:space="preserve">https://csrc.nist.gov/pubs/ai/100/2/e2023/final</w:t>
        </w:r>
      </w:hyperlink>
      <w:r>
        <w:t xml:space="preserve">&gt;.</w:t>
      </w:r>
    </w:p>
    <w:bookmarkEnd w:id="134"/>
    <w:bookmarkStart w:id="136" w:name="ref-RAPP201849"/>
    <w:p>
      <w:pPr>
        <w:pStyle w:val="Bibliography"/>
      </w:pPr>
      <w:r>
        <w:t xml:space="preserve">RAPP, A. et al.</w:t>
      </w:r>
      <w:r>
        <w:t xml:space="preserve"> </w:t>
      </w:r>
      <w:hyperlink r:id="rId135">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36"/>
    <w:bookmarkStart w:id="138" w:name="ref-eversql2023orms"/>
    <w:p>
      <w:pPr>
        <w:pStyle w:val="Bibliography"/>
      </w:pPr>
      <w:r>
        <w:t xml:space="preserve">TEAM, E.</w:t>
      </w:r>
      <w:r>
        <w:t xml:space="preserve"> </w:t>
      </w:r>
      <w:r>
        <w:rPr>
          <w:b/>
          <w:bCs/>
        </w:rPr>
        <w:t xml:space="preserve">Best ORM for Node.js in 2023: A Comprehensive Comparison</w:t>
      </w:r>
      <w:r>
        <w:t xml:space="preserve">. Disponível em: &lt;</w:t>
      </w:r>
      <w:hyperlink r:id="rId137">
        <w:r>
          <w:rPr>
            <w:rStyle w:val="Hyperlink"/>
          </w:rPr>
          <w:t xml:space="preserve">https://www.eversql.com/best-orm-for-node-js/</w:t>
        </w:r>
      </w:hyperlink>
      <w:r>
        <w:t xml:space="preserve">&gt;. Acesso em: 12 abr. 2025.</w:t>
      </w:r>
    </w:p>
    <w:bookmarkEnd w:id="138"/>
    <w:bookmarkStart w:id="140" w:name="ref-sequelize2024"/>
    <w:p>
      <w:pPr>
        <w:pStyle w:val="Bibliography"/>
      </w:pPr>
      <w:r>
        <w:t xml:space="preserve">TEAM, S.</w:t>
      </w:r>
      <w:r>
        <w:t xml:space="preserve"> </w:t>
      </w:r>
      <w:r>
        <w:rPr>
          <w:b/>
          <w:bCs/>
        </w:rPr>
        <w:t xml:space="preserve">Sequelize: A Modern TypeScript and Node.js ORM for Postgres, MySQL, MariaDB, SQLite and SQL Server</w:t>
      </w:r>
      <w:r>
        <w:t xml:space="preserve">., 2024. Disponível em: &lt;</w:t>
      </w:r>
      <w:hyperlink r:id="rId139">
        <w:r>
          <w:rPr>
            <w:rStyle w:val="Hyperlink"/>
          </w:rPr>
          <w:t xml:space="preserve">https://github.com/sequelize/sequelize</w:t>
        </w:r>
      </w:hyperlink>
      <w:r>
        <w:t xml:space="preserve">&gt;. Acesso em: 12 abr. 2025</w:t>
      </w:r>
    </w:p>
    <w:bookmarkEnd w:id="140"/>
    <w:bookmarkStart w:id="142" w:name="ref-Postman2023"/>
    <w:p>
      <w:pPr>
        <w:pStyle w:val="Bibliography"/>
      </w:pPr>
      <w:r>
        <w:t xml:space="preserve">THE POSTMAN TEAM.</w:t>
      </w:r>
      <w:r>
        <w:t xml:space="preserve"> </w:t>
      </w:r>
      <w:r>
        <w:rPr>
          <w:b/>
          <w:bCs/>
        </w:rPr>
        <w:t xml:space="preserve">What is OpenAPI?</w:t>
      </w:r>
      <w:r>
        <w:t xml:space="preserve"> Postman Blog, ago. 2023. Disponível em: &lt;</w:t>
      </w:r>
      <w:hyperlink r:id="rId141">
        <w:r>
          <w:rPr>
            <w:rStyle w:val="Hyperlink"/>
          </w:rPr>
          <w:t xml:space="preserve">https://blog.postman.com/what-is-openapi/</w:t>
        </w:r>
      </w:hyperlink>
      <w:r>
        <w:t xml:space="preserve">&gt;</w:t>
      </w:r>
    </w:p>
    <w:bookmarkEnd w:id="142"/>
    <w:bookmarkStart w:id="144" w:name="Xdb972de03a39c6d63569ca249ff4d688a5d0d8c"/>
    <w:p>
      <w:pPr>
        <w:pStyle w:val="Bibliography"/>
      </w:pPr>
      <w:r>
        <w:t xml:space="preserve">WEI, J. et al.</w:t>
      </w:r>
      <w:r>
        <w:t xml:space="preserve"> </w:t>
      </w:r>
      <w:r>
        <w:rPr>
          <w:b/>
          <w:bCs/>
        </w:rPr>
        <w:t xml:space="preserve">Chain-of-Thought Prompting Elicits Reasoning in Large Language Models</w:t>
      </w:r>
      <w:r>
        <w:t xml:space="preserve">., 2023. Disponível em: &lt;</w:t>
      </w:r>
      <w:hyperlink r:id="rId143">
        <w:r>
          <w:rPr>
            <w:rStyle w:val="Hyperlink"/>
          </w:rPr>
          <w:t xml:space="preserve">https://arxiv.org/abs/2201.11903</w:t>
        </w:r>
      </w:hyperlink>
      <w:r>
        <w:t xml:space="preserve">&gt;</w:t>
      </w:r>
    </w:p>
    <w:bookmarkEnd w:id="144"/>
    <w:bookmarkStart w:id="146" w:name="ref-wu2023defending"/>
    <w:p>
      <w:pPr>
        <w:pStyle w:val="Bibliography"/>
      </w:pPr>
      <w:r>
        <w:t xml:space="preserve">WU, F. et al.</w:t>
      </w:r>
      <w:r>
        <w:t xml:space="preserve"> </w:t>
      </w:r>
      <w:hyperlink r:id="rId145">
        <w:r>
          <w:rPr>
            <w:rStyle w:val="Hyperlink"/>
          </w:rPr>
          <w:t xml:space="preserve">Defending chatgpt against jailbreak attack via self-reminder</w:t>
        </w:r>
      </w:hyperlink>
      <w:r>
        <w:t xml:space="preserve">. 2023.</w:t>
      </w:r>
    </w:p>
    <w:bookmarkEnd w:id="146"/>
    <w:bookmarkStart w:id="148" w:name="ref-yao2023treethoughtsdeliberateproblem"/>
    <w:p>
      <w:pPr>
        <w:pStyle w:val="Bibliography"/>
      </w:pPr>
      <w:r>
        <w:t xml:space="preserve">YAO, S. et al.</w:t>
      </w:r>
      <w:r>
        <w:t xml:space="preserve"> </w:t>
      </w:r>
      <w:r>
        <w:rPr>
          <w:b/>
          <w:bCs/>
        </w:rPr>
        <w:t xml:space="preserve">Tree of Thoughts: Deliberate Problem Solving with Large Language Models</w:t>
      </w:r>
      <w:r>
        <w:t xml:space="preserve">., 2023. Disponível em: &lt;</w:t>
      </w:r>
      <w:hyperlink r:id="rId147">
        <w:r>
          <w:rPr>
            <w:rStyle w:val="Hyperlink"/>
          </w:rPr>
          <w:t xml:space="preserve">https://arxiv.org/abs/2305.10601</w:t>
        </w:r>
      </w:hyperlink>
      <w:r>
        <w:t xml:space="preserve">&gt;</w:t>
      </w:r>
    </w:p>
    <w:bookmarkEnd w:id="148"/>
    <w:bookmarkEnd w:id="149"/>
    <w:bookmarkEnd w:id="150"/>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2024-2.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3"/>
  </w:num>
  <w:num w:numId="1005">
    <w:abstractNumId w:val="993"/>
  </w:num>
  <w:num w:numId="1006">
    <w:abstractNumId w:val="992"/>
  </w:num>
  <w:num w:numId="1007">
    <w:abstractNumId w:val="993"/>
  </w:num>
  <w:num w:numId="1008">
    <w:abstractNumId w:val="993"/>
  </w:num>
  <w:num w:numId="1009">
    <w:abstractNumId w:val="993"/>
  </w:num>
  <w:num w:numId="1010">
    <w:abstractNumId w:val="993"/>
  </w:num>
  <w:num w:numId="1011">
    <w:abstractNumId w:val="992"/>
  </w:num>
  <w:num w:numId="1012">
    <w:abstractNumId w:val="992"/>
  </w:num>
  <w:num w:numId="1013">
    <w:abstractNumId w:val="992"/>
  </w:num>
  <w:num w:numId="1014">
    <w:abstractNumId w:val="992"/>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74" Target="media/rId74.jpg" /><Relationship Type="http://schemas.openxmlformats.org/officeDocument/2006/relationships/image" Id="rId39" Target="media/rId39.jpg" /><Relationship Type="http://schemas.openxmlformats.org/officeDocument/2006/relationships/image" Id="rId33" Target="media/rId33.jpg" /><Relationship Type="http://schemas.openxmlformats.org/officeDocument/2006/relationships/image" Id="rId42" Target="media/rId42.jpg" /><Relationship Type="http://schemas.openxmlformats.org/officeDocument/2006/relationships/image" Id="rId62" Target="media/rId62.jpg" /><Relationship Type="http://schemas.openxmlformats.org/officeDocument/2006/relationships/image" Id="rId48" Target="media/rId48.jpg" /><Relationship Type="http://schemas.openxmlformats.org/officeDocument/2006/relationships/hyperlink" Id="rId117" Target="https://api.semanticscholar.org/CorpusID:218539971" TargetMode="External" /><Relationship Type="http://schemas.openxmlformats.org/officeDocument/2006/relationships/hyperlink" Id="rId101" Target="https://api.semanticscholar.org/CorpusID:258259387" TargetMode="External" /><Relationship Type="http://schemas.openxmlformats.org/officeDocument/2006/relationships/hyperlink" Id="rId107" Target="https://arxiv.org/abs/1707.05015" TargetMode="External" /><Relationship Type="http://schemas.openxmlformats.org/officeDocument/2006/relationships/hyperlink" Id="rId97" Target="https://arxiv.org/abs/2005.14165" TargetMode="External" /><Relationship Type="http://schemas.openxmlformats.org/officeDocument/2006/relationships/hyperlink" Id="rId143" Target="https://arxiv.org/abs/2201.11903" TargetMode="External" /><Relationship Type="http://schemas.openxmlformats.org/officeDocument/2006/relationships/hyperlink" Id="rId147" Target="https://arxiv.org/abs/2305.10601" TargetMode="External" /><Relationship Type="http://schemas.openxmlformats.org/officeDocument/2006/relationships/hyperlink" Id="rId141" Target="https://blog.postman.com/what-is-openapi/" TargetMode="External" /><Relationship Type="http://schemas.openxmlformats.org/officeDocument/2006/relationships/hyperlink" Id="rId133" Target="https://csrc.nist.gov/pubs/ai/100/2/e2023/final" TargetMode="External" /><Relationship Type="http://schemas.openxmlformats.org/officeDocument/2006/relationships/hyperlink" Id="rId95" Target="https://developers.redhat.com/blog/2024/10/25/building-agents-large-language-modelsllms-and-nodejs" TargetMode="External" /><Relationship Type="http://schemas.openxmlformats.org/officeDocument/2006/relationships/hyperlink" Id="rId135" Target="https://doi.org/10.1016/j.ijhcs.2018.07.005" TargetMode="External" /><Relationship Type="http://schemas.openxmlformats.org/officeDocument/2006/relationships/hyperlink" Id="rId115" Target="https://doi.org/10.2196/15360" TargetMode="External" /><Relationship Type="http://schemas.openxmlformats.org/officeDocument/2006/relationships/hyperlink" Id="rId113" Target="https://genai.owasp.org/llmrisk/llm01-prompt-injection" TargetMode="External" /><Relationship Type="http://schemas.openxmlformats.org/officeDocument/2006/relationships/hyperlink" Id="rId139" Target="https://github.com/sequelize/sequelize" TargetMode="External" /><Relationship Type="http://schemas.openxmlformats.org/officeDocument/2006/relationships/hyperlink" Id="rId99" Target="https://hal.science/hal-04545073" TargetMode="External" /><Relationship Type="http://schemas.openxmlformats.org/officeDocument/2006/relationships/hyperlink" Id="rId111" Target="https://journals.plos.org/plosone/article?id=10.1371/journal.pone.0314658" TargetMode="External" /><Relationship Type="http://schemas.openxmlformats.org/officeDocument/2006/relationships/hyperlink" Id="rId131" Target="https://learn.openapis.org/docs/getting-started" TargetMode="External" /><Relationship Type="http://schemas.openxmlformats.org/officeDocument/2006/relationships/hyperlink" Id="rId119" Target="https://modelcontextprotocol.io/introduction" TargetMode="External" /><Relationship Type="http://schemas.openxmlformats.org/officeDocument/2006/relationships/hyperlink" Id="rId121" Target="https://modelcontextprotocol.io/specification/2025-03-26/index" TargetMode="External" /><Relationship Type="http://schemas.openxmlformats.org/officeDocument/2006/relationships/hyperlink" Id="rId129" Target="https://openai.com/blog/chatgpt-plugins" TargetMode="External" /><Relationship Type="http://schemas.openxmlformats.org/officeDocument/2006/relationships/hyperlink" Id="rId127" Target="https://openai.com/index/function-calling-and-other-api-updates/" TargetMode="External" /><Relationship Type="http://schemas.openxmlformats.org/officeDocument/2006/relationships/hyperlink" Id="rId125" Target="https://openai.com/index/gpt-4-research/" TargetMode="External" /><Relationship Type="http://schemas.openxmlformats.org/officeDocument/2006/relationships/hyperlink" Id="rId123" Target="https://openai.com/index/instruction-following/" TargetMode="External" /><Relationship Type="http://schemas.openxmlformats.org/officeDocument/2006/relationships/hyperlink" Id="rId90" Target="https://www.anthropic.com/news/100k-context-windows" TargetMode="External" /><Relationship Type="http://schemas.openxmlformats.org/officeDocument/2006/relationships/hyperlink" Id="rId92" Target="https://www.anthropic.com/news/model-context-protocol" TargetMode="External" /><Relationship Type="http://schemas.openxmlformats.org/officeDocument/2006/relationships/hyperlink" Id="rId105" Target="https://www.enterprisedb.com/blog/postgres-most-admired-database-in-stack-overflow-2023" TargetMode="External" /><Relationship Type="http://schemas.openxmlformats.org/officeDocument/2006/relationships/hyperlink" Id="rId103" Target="https://www.enterprisedb.com/news/enterprisedb-raises-bar-postgres-security-compliance" TargetMode="External" /><Relationship Type="http://schemas.openxmlformats.org/officeDocument/2006/relationships/hyperlink" Id="rId137" Target="https://www.eversql.com/best-orm-for-node-js/" TargetMode="External" /><Relationship Type="http://schemas.openxmlformats.org/officeDocument/2006/relationships/hyperlink" Id="rId109"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5" Target="https://www.researchsquare.com/article/rs-2873090/v1" TargetMode="External" /></Relationships>
</file>

<file path=word/_rels/footnotes.xml.rels><?xml version="1.0" encoding="UTF-8"?><Relationships xmlns="http://schemas.openxmlformats.org/package/2006/relationships"><Relationship Type="http://schemas.openxmlformats.org/officeDocument/2006/relationships/hyperlink" Id="rId117" Target="https://api.semanticscholar.org/CorpusID:218539971" TargetMode="External" /><Relationship Type="http://schemas.openxmlformats.org/officeDocument/2006/relationships/hyperlink" Id="rId101" Target="https://api.semanticscholar.org/CorpusID:258259387" TargetMode="External" /><Relationship Type="http://schemas.openxmlformats.org/officeDocument/2006/relationships/hyperlink" Id="rId107" Target="https://arxiv.org/abs/1707.05015" TargetMode="External" /><Relationship Type="http://schemas.openxmlformats.org/officeDocument/2006/relationships/hyperlink" Id="rId97" Target="https://arxiv.org/abs/2005.14165" TargetMode="External" /><Relationship Type="http://schemas.openxmlformats.org/officeDocument/2006/relationships/hyperlink" Id="rId143" Target="https://arxiv.org/abs/2201.11903" TargetMode="External" /><Relationship Type="http://schemas.openxmlformats.org/officeDocument/2006/relationships/hyperlink" Id="rId147" Target="https://arxiv.org/abs/2305.10601" TargetMode="External" /><Relationship Type="http://schemas.openxmlformats.org/officeDocument/2006/relationships/hyperlink" Id="rId141" Target="https://blog.postman.com/what-is-openapi/" TargetMode="External" /><Relationship Type="http://schemas.openxmlformats.org/officeDocument/2006/relationships/hyperlink" Id="rId133" Target="https://csrc.nist.gov/pubs/ai/100/2/e2023/final" TargetMode="External" /><Relationship Type="http://schemas.openxmlformats.org/officeDocument/2006/relationships/hyperlink" Id="rId95" Target="https://developers.redhat.com/blog/2024/10/25/building-agents-large-language-modelsllms-and-nodejs" TargetMode="External" /><Relationship Type="http://schemas.openxmlformats.org/officeDocument/2006/relationships/hyperlink" Id="rId135" Target="https://doi.org/10.1016/j.ijhcs.2018.07.005" TargetMode="External" /><Relationship Type="http://schemas.openxmlformats.org/officeDocument/2006/relationships/hyperlink" Id="rId115" Target="https://doi.org/10.2196/15360" TargetMode="External" /><Relationship Type="http://schemas.openxmlformats.org/officeDocument/2006/relationships/hyperlink" Id="rId113" Target="https://genai.owasp.org/llmrisk/llm01-prompt-injection" TargetMode="External" /><Relationship Type="http://schemas.openxmlformats.org/officeDocument/2006/relationships/hyperlink" Id="rId139" Target="https://github.com/sequelize/sequelize" TargetMode="External" /><Relationship Type="http://schemas.openxmlformats.org/officeDocument/2006/relationships/hyperlink" Id="rId99" Target="https://hal.science/hal-04545073" TargetMode="External" /><Relationship Type="http://schemas.openxmlformats.org/officeDocument/2006/relationships/hyperlink" Id="rId111" Target="https://journals.plos.org/plosone/article?id=10.1371/journal.pone.0314658" TargetMode="External" /><Relationship Type="http://schemas.openxmlformats.org/officeDocument/2006/relationships/hyperlink" Id="rId131" Target="https://learn.openapis.org/docs/getting-started" TargetMode="External" /><Relationship Type="http://schemas.openxmlformats.org/officeDocument/2006/relationships/hyperlink" Id="rId119" Target="https://modelcontextprotocol.io/introduction" TargetMode="External" /><Relationship Type="http://schemas.openxmlformats.org/officeDocument/2006/relationships/hyperlink" Id="rId121" Target="https://modelcontextprotocol.io/specification/2025-03-26/index" TargetMode="External" /><Relationship Type="http://schemas.openxmlformats.org/officeDocument/2006/relationships/hyperlink" Id="rId129" Target="https://openai.com/blog/chatgpt-plugins" TargetMode="External" /><Relationship Type="http://schemas.openxmlformats.org/officeDocument/2006/relationships/hyperlink" Id="rId127" Target="https://openai.com/index/function-calling-and-other-api-updates/" TargetMode="External" /><Relationship Type="http://schemas.openxmlformats.org/officeDocument/2006/relationships/hyperlink" Id="rId125" Target="https://openai.com/index/gpt-4-research/" TargetMode="External" /><Relationship Type="http://schemas.openxmlformats.org/officeDocument/2006/relationships/hyperlink" Id="rId123" Target="https://openai.com/index/instruction-following/" TargetMode="External" /><Relationship Type="http://schemas.openxmlformats.org/officeDocument/2006/relationships/hyperlink" Id="rId90" Target="https://www.anthropic.com/news/100k-context-windows" TargetMode="External" /><Relationship Type="http://schemas.openxmlformats.org/officeDocument/2006/relationships/hyperlink" Id="rId92" Target="https://www.anthropic.com/news/model-context-protocol" TargetMode="External" /><Relationship Type="http://schemas.openxmlformats.org/officeDocument/2006/relationships/hyperlink" Id="rId105" Target="https://www.enterprisedb.com/blog/postgres-most-admired-database-in-stack-overflow-2023" TargetMode="External" /><Relationship Type="http://schemas.openxmlformats.org/officeDocument/2006/relationships/hyperlink" Id="rId103" Target="https://www.enterprisedb.com/news/enterprisedb-raises-bar-postgres-security-compliance" TargetMode="External" /><Relationship Type="http://schemas.openxmlformats.org/officeDocument/2006/relationships/hyperlink" Id="rId137" Target="https://www.eversql.com/best-orm-for-node-js/" TargetMode="External" /><Relationship Type="http://schemas.openxmlformats.org/officeDocument/2006/relationships/hyperlink" Id="rId109"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5" Target="https://www.researchsquare.com/article/rs-2873090/v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ESTUDO COMPARATIVO DE ESTRATÉGIAS DE INTEGRAÇÃO PARA AGENTES CONVERSACIONAIS BASEADOS EM IA EM SOLUÇÕES WEB</dc:title>
  <dc:creator/>
  <cp:keywords/>
  <dcterms:created xsi:type="dcterms:W3CDTF">2025-05-05T23:36:58Z</dcterms:created>
  <dcterms:modified xsi:type="dcterms:W3CDTF">2025-05-05T23:36:58Z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