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b/>
          <w:color w:val="0F172A"/>
          <w:sz w:val="44"/>
        </w:rPr>
        <w:t>The Quiet Revolution in Collaborative Editing</w:t>
      </w:r>
    </w:p>
    <w:p>
      <w:pPr>
        <w:jc w:val="center"/>
      </w:pPr>
      <w:r>
        <w:rPr>
          <w:i/>
          <w:color w:val="64748B"/>
        </w:rPr>
        <w:t>Alex Morgan · State University · ENG 301</w:t>
      </w:r>
    </w:p>
    <w:p>
      <w:pPr>
        <w:jc w:val="center"/>
      </w:pPr>
      <w:r>
        <w:rPr>
          <w:color w:val="64748B"/>
        </w:rPr>
        <w:t>March 5, 2026</w:t>
      </w:r>
    </w:p>
    <w:p>
      <w:pPr>
        <w:pStyle w:val="Heading2"/>
      </w:pPr>
      <w:r>
        <w:t>Abstract</w:t>
      </w:r>
    </w:p>
    <w:p>
      <w:r>
        <w:t>This paper traces the development of conflict-free replicated data types (CRDTs) from theoretical curiosity in the late 2000s to production deployment underpinning much of contemporary collaborative editing. We argue that the field’s pragmatic turn — away from operational-transform–centric designs — was driven less by theoretical superiority than by deployment ergonomics.</w:t>
      </w:r>
    </w:p>
    <w:p>
      <w:pPr>
        <w:pStyle w:val="Heading2"/>
      </w:pPr>
      <w:r>
        <w:t>1. Introduction</w:t>
      </w:r>
    </w:p>
    <w:p>
      <w:r>
        <w:t>When Google Docs launched in 2006, simultaneous editing felt like a magic trick. The underlying machinery, however, was a careful application of Operational Transform (OT), a technique with roots in the 1980s. For more than a decade, OT was the only practical answer for low-latency multi-writer text editing.</w:t>
      </w:r>
    </w:p>
    <w:p>
      <w:r>
        <w:t>The quiet revolution of the 2010s and 2020s was the displacement of OT by CRDTs in production systems. This paper explores what changed.</w:t>
      </w:r>
    </w:p>
    <w:p>
      <w:pPr>
        <w:pStyle w:val="Heading2"/>
      </w:pPr>
      <w:r>
        <w:t>2. The deployment problem</w:t>
      </w:r>
    </w:p>
    <w:p>
      <w:r>
        <w:t>Operational Transform requires a central server to linearise concurrent operations. CRDTs, by construction, do not. This single property — convergence without coordination — is what made CRDTs win, not their theoretical properties.</w:t>
      </w:r>
    </w:p>
    <w:p>
      <w:pPr>
        <w:pStyle w:val="Heading2"/>
      </w:pPr>
      <w:r>
        <w:t>3. Case study: Yjs in the wild</w:t>
      </w:r>
    </w:p>
    <w:p>
      <w:r>
        <w:t>Yjs has emerged as the canonical implementation. Its success owes much to a set of pragmatic design decisions — small wire format, efficient garbage collection of tombstones, language bindings that match where editors actually run.</w:t>
      </w:r>
    </w:p>
    <w:p>
      <w:pPr>
        <w:pStyle w:val="Heading2"/>
      </w:pPr>
      <w:r>
        <w:t>4. Conclusion</w:t>
      </w:r>
    </w:p>
    <w:p>
      <w:r>
        <w:t>Editor architecture is downstream of operational concerns. CRDTs won the editing wars not because their theory was prettier but because their deployment was cleaner. That observation has implications well beyond editors.</w:t>
      </w:r>
    </w:p>
    <w:p>
      <w:pPr>
        <w:pStyle w:val="Heading2"/>
      </w:pPr>
      <w:r>
        <w:t>References</w:t>
      </w:r>
    </w:p>
    <w:p>
      <w:r>
        <w:rPr>
          <w:color w:val="475569"/>
        </w:rPr>
        <w:t>Shapiro, M., et al. (2011). Conflict-free Replicated Data Types. INRIA RR-7506.</w:t>
      </w:r>
    </w:p>
    <w:p>
      <w:r>
        <w:rPr>
          <w:color w:val="475569"/>
        </w:rPr>
        <w:t>Jahns, K. (2019). Yjs — A CRDT Framework. https://yjs.dev</w:t>
      </w:r>
    </w:p>
    <w:sectPr>
      <w:pgSz w:w="12240" w:h="15840"/>
      <w:pgMar w:top="1440" w:right="1440" w:bottom="1440" w:left="1440" w:header="720" w:footer="720" w:gutter="0"/>
      <w:docGrid w:linePitch="360"/>
    </w:sectPr>
  </w:body>
</w:document>
</file>

<file path=word/numbering.xml><?xml version="1.0" encoding="utf-8"?>
<w:numbering xmlns:w="http://schemas.openxmlformats.org/wordprocessingml/2006/main">
  <w:abstractNum w:abstractNumId="0">
    <w:lvl w:ilvl="0">
      <w:numFmt w:val="bullet"/>
      <w:lvlText w:val="•"/>
      <w:pPr>
        <w:ind w:left="720" w:hanging="360"/>
      </w:pPr>
      <w:rPr>
        <w:rFonts w:ascii="Symbol" w:hAnsi="Symbol"/>
      </w:rPr>
    </w:lvl>
    <w:lvl w:ilvl="1">
      <w:numFmt w:val="bullet"/>
      <w:lvlText w:val="◦"/>
      <w:pPr>
        <w:ind w:left="144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288" w:lineRule="auto"/>
      </w:pPr>
    </w:pPrDefault>
  </w:docDefaults>
  <w:style w:type="paragraph" w:styleId="Heading1">
    <w:name w:val="heading 1"/>
    <w:pPr>
      <w:spacing w:before="240" w:after="120"/>
    </w:pPr>
    <w:rPr>
      <w:rFonts w:ascii="Calibri" w:hAnsi="Calibri"/>
      <w:b/>
      <w:sz w:val="40"/>
      <w:color w:val="0F172A"/>
    </w:rPr>
  </w:style>
  <w:style w:type="paragraph" w:styleId="Heading2">
    <w:name w:val="heading 2"/>
    <w:pPr>
      <w:spacing w:before="200" w:after="80"/>
    </w:pPr>
    <w:rPr>
      <w:rFonts w:ascii="Calibri" w:hAnsi="Calibri"/>
      <w:b/>
      <w:sz w:val="28"/>
      <w:color w:val="1E40AF"/>
    </w:rPr>
  </w:style>
  <w:style w:type="paragraph" w:styleId="Heading3">
    <w:name w:val="heading 3"/>
    <w:pPr>
      <w:spacing w:before="160" w:after="60"/>
    </w:pPr>
    <w:rPr>
      <w:b/>
      <w:sz w:val="24"/>
      <w:color w:val="334155"/>
    </w:rPr>
  </w:style>
  <w:style w:type="paragraph" w:styleId="ListBullet">
    <w:name w:val="List Bullet"/>
  </w:style>
  <w:style w:type="paragraph" w:styleId="ListNumber">
    <w:name w:val="List Number"/>
  </w:style>
  <w:style w:type="table" w:styleId="TableGrid">
    <w:name w:val="Table Grid"/>
    <w:tblPr>
      <w:tblBorders>
        <w:top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