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BODY-LINE-ONE</w:t>
      </w:r>
    </w:p>
    <w:p>
      <w:r>
        <w:t>Body content line two.</w:t>
      </w:r>
    </w:p>
    <w:sectPr>
      <w:headerReference r:id="rId2" w:type="default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T="0" distB="0" distL="0" distR="0">
          <wp:extent cx="17145000" cy="5715000"/>
          <wp:effectExtent l="0" t="0" r="0" b="0"/>
          <wp:docPr id="1" name="OversizedHeaderImage"/>
          <wp:cNvGraphicFramePr/>
          <a:graphic>
            <a:graphicData uri="http://schemas.openxmlformats.org/drawingml/2006/picture">
              <pic:pic>
                <pic:nvPicPr>
                  <pic:cNvPr id="1" name="bigpx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0" cy="5715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