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Weekly status — Week of March 3</w:t>
      </w:r>
    </w:p>
    <w:p>
      <w:r>
        <w:rPr>
          <w:i/>
          <w:color w:val="64748B"/>
        </w:rPr>
        <w:t>Alex Morgan · Engineering · sent Friday EOD</w:t>
      </w:r>
    </w:p>
    <w:p>
      <w:pPr>
        <w:pStyle w:val="Heading2"/>
      </w:pPr>
      <w:r>
        <w:t>Shipped this week</w:t>
      </w:r>
    </w:p>
    <w:p>
      <w:pPr>
        <w:pStyle w:val="ListBullet"/>
        <w:numPr>
          <w:ilvl w:val="0"/>
          <w:numId w:val="1"/>
        </w:numPr>
      </w:pPr>
      <w:r>
        <w:t>Document home-page template gallery (PR #214 merged)</w:t>
      </w:r>
    </w:p>
    <w:p>
      <w:pPr>
        <w:pStyle w:val="ListBullet"/>
        <w:numPr>
          <w:ilvl w:val="0"/>
          <w:numId w:val="1"/>
        </w:numPr>
      </w:pPr>
      <w:r>
        <w:t>CI green-up: six stale-selector fixes across e2e suite</w:t>
      </w:r>
    </w:p>
    <w:p>
      <w:pPr>
        <w:pStyle w:val="ListBullet"/>
        <w:numPr>
          <w:ilvl w:val="0"/>
          <w:numId w:val="1"/>
        </w:numPr>
      </w:pPr>
      <w:r>
        <w:t>Word-compat closing-border heuristic behind off-by-default flag (#395)</w:t>
      </w:r>
    </w:p>
    <w:p>
      <w:pPr>
        <w:pStyle w:val="Heading2"/>
      </w:pPr>
      <w:r>
        <w:t>In flight</w:t>
      </w:r>
    </w:p>
    <w:p>
      <w:pPr>
        <w:pStyle w:val="ListBullet"/>
        <w:numPr>
          <w:ilvl w:val="0"/>
          <w:numId w:val="1"/>
        </w:numPr>
      </w:pPr>
      <w:r>
        <w:t>Go gateway scaffolding — WS frame parser landing Monday</w:t>
      </w:r>
    </w:p>
    <w:p>
      <w:pPr>
        <w:pStyle w:val="ListBullet"/>
        <w:numPr>
          <w:ilvl w:val="0"/>
          <w:numId w:val="1"/>
        </w:numPr>
      </w:pPr>
      <w:r>
        <w:t>Real Sample / Resume / Letter / Meeting / Proposal templates authored</w:t>
      </w:r>
    </w:p>
    <w:p>
      <w:pPr>
        <w:pStyle w:val="ListBullet"/>
        <w:numPr>
          <w:ilvl w:val="0"/>
          <w:numId w:val="1"/>
        </w:numPr>
      </w:pPr>
      <w:r>
        <w:t>Demo Pages deploy now points at doc.schnsrw.live (DNS propagated)</w:t>
      </w:r>
    </w:p>
    <w:p>
      <w:pPr>
        <w:pStyle w:val="Heading2"/>
      </w:pPr>
      <w:r>
        <w:t>Blockers</w:t>
      </w:r>
    </w:p>
    <w:p>
      <w:pPr>
        <w:pStyle w:val="ListBullet"/>
        <w:numPr>
          <w:ilvl w:val="0"/>
          <w:numId w:val="1"/>
        </w:numPr>
      </w:pPr>
      <w:r>
        <w:t>WOPI mock host design — need a 30-min sync with Priya on protocol coverage. Booked for Tuesday.</w:t>
      </w:r>
    </w:p>
    <w:p>
      <w:pPr>
        <w:pStyle w:val="Heading2"/>
      </w:pPr>
      <w:r>
        <w:t>Next week</w:t>
      </w:r>
    </w:p>
    <w:p>
      <w:pPr>
        <w:pStyle w:val="ListBullet"/>
        <w:numPr>
          <w:ilvl w:val="0"/>
          <w:numId w:val="1"/>
        </w:numPr>
      </w:pPr>
      <w:r>
        <w:t>Land Go gateway v0 — accept WS, hold one Y.Doc per room, drop on idle</w:t>
      </w:r>
    </w:p>
    <w:p>
      <w:pPr>
        <w:pStyle w:val="ListBullet"/>
        <w:numPr>
          <w:ilvl w:val="0"/>
          <w:numId w:val="1"/>
        </w:numPr>
      </w:pPr>
      <w:r>
        <w:t>Stand up the WOPI mock as a Docker service alongside the editor</w:t>
      </w:r>
    </w:p>
    <w:p>
      <w:pPr>
        <w:pStyle w:val="ListBullet"/>
        <w:numPr>
          <w:ilvl w:val="0"/>
          <w:numId w:val="1"/>
        </w:numPr>
      </w:pPr>
      <w:r>
        <w:t>Start the M3 integration spec</w:t>
      </w:r>
    </w:p>
    <w:p>
      <w:pPr>
        <w:pStyle w:val="Heading2"/>
      </w:pPr>
      <w:r>
        <w:t>Metrics</w:t>
      </w:r>
    </w:p>
    <w:tbl>
      <w:tblPr>
        <w:tblStyle w:val="TableGrid"/>
        <w:tblW w:w="0" w:type="auto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120"/>
        <w:gridCol w:w="3120"/>
        <w:gridCol w:w="3120"/>
      </w:tblGrid>
      <w:tr>
        <w:tc>
          <w:tcPr>
            <w:tcW w:w="3120" w:type="dxa"/>
            <w:shd w:val="clear" w:fill="EFF6FF"/>
          </w:tcPr>
          <w:p>
            <w:r>
              <w:rPr>
                <w:b/>
                <w:color w:val="1E40AF"/>
              </w:rPr>
              <w:t>Metric</w:t>
            </w:r>
          </w:p>
        </w:tc>
        <w:tc>
          <w:tcPr>
            <w:tcW w:w="3120" w:type="dxa"/>
            <w:shd w:val="clear" w:fill="EFF6FF"/>
          </w:tcPr>
          <w:p>
            <w:r>
              <w:rPr>
                <w:b/>
                <w:color w:val="1E40AF"/>
              </w:rPr>
              <w:t>This week</w:t>
            </w:r>
          </w:p>
        </w:tc>
        <w:tc>
          <w:tcPr>
            <w:tcW w:w="3120" w:type="dxa"/>
            <w:shd w:val="clear" w:fill="EFF6FF"/>
          </w:tcPr>
          <w:p>
            <w:r>
              <w:rPr>
                <w:b/>
                <w:color w:val="1E40AF"/>
              </w:rPr>
              <w:t>Trend</w:t>
            </w:r>
          </w:p>
        </w:tc>
      </w:tr>
      <w:tr>
        <w:tc>
          <w:tcPr>
            <w:tcW w:w="3120" w:type="dxa"/>
          </w:tcPr>
          <w:p>
            <w:r>
              <w:t>CI green rate</w:t>
            </w:r>
          </w:p>
        </w:tc>
        <w:tc>
          <w:tcPr>
            <w:tcW w:w="3120" w:type="dxa"/>
          </w:tcPr>
          <w:p>
            <w:r>
              <w:t>92%</w:t>
            </w:r>
          </w:p>
        </w:tc>
        <w:tc>
          <w:tcPr>
            <w:tcW w:w="3120" w:type="dxa"/>
          </w:tcPr>
          <w:p>
            <w:r>
              <w:t>↑ from 71%</w:t>
            </w:r>
          </w:p>
        </w:tc>
      </w:tr>
      <w:tr>
        <w:tc>
          <w:tcPr>
            <w:tcW w:w="3120" w:type="dxa"/>
          </w:tcPr>
          <w:p>
            <w:r>
              <w:t>Open P0 bugs</w:t>
            </w:r>
          </w:p>
        </w:tc>
        <w:tc>
          <w:tcPr>
            <w:tcW w:w="3120" w:type="dxa"/>
          </w:tcPr>
          <w:p>
            <w:r>
              <w:t>0</w:t>
            </w:r>
          </w:p>
        </w:tc>
        <w:tc>
          <w:tcPr>
            <w:tcW w:w="3120" w:type="dxa"/>
          </w:tcPr>
          <w:p>
            <w:r>
              <w:t>— flat</w:t>
            </w:r>
          </w:p>
        </w:tc>
      </w:tr>
      <w:tr>
        <w:tc>
          <w:tcPr>
            <w:tcW w:w="3120" w:type="dxa"/>
          </w:tcPr>
          <w:p>
            <w:r>
              <w:t>Round-trip fidelity (pristine)</w:t>
            </w:r>
          </w:p>
        </w:tc>
        <w:tc>
          <w:tcPr>
            <w:tcW w:w="3120" w:type="dxa"/>
          </w:tcPr>
          <w:p>
            <w:r>
              <w:t>59% (23/39)</w:t>
            </w:r>
          </w:p>
        </w:tc>
        <w:tc>
          <w:tcPr>
            <w:tcW w:w="3120" w:type="dxa"/>
          </w:tcPr>
          <w:p>
            <w:r>
              <w:t>— flat</w:t>
            </w:r>
          </w:p>
        </w:tc>
      </w:tr>
    </w:tbl>
    <w:sectPr>
      <w:pgSz w:w="12240" w:h="15840"/>
      <w:pgMar w:top="1440" w:right="1440" w:bottom="1440" w:left="1440" w:header="720" w:footer="720" w:gutter="0"/>
      <w:docGrid w:linePitch="36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  <w:pPr>
        <w:ind w:left="720" w:hanging="360"/>
      </w:pPr>
      <w:rPr>
        <w:rFonts w:ascii="Symbol" w:hAnsi="Symbol"/>
      </w:rPr>
    </w:lvl>
    <w:lvl w:ilvl="1">
      <w:numFmt w:val="bullet"/>
      <w:lvlText w:val="◦"/>
      <w:pPr>
        <w:ind w:left="1440" w:hanging="360"/>
      </w:pPr>
    </w:lvl>
  </w:abstractNum>
  <w:abstractNum w:abstractNumId="1">
    <w:lvl w:ilvl="0">
      <w:start w:val="1"/>
      <w:numFmt w:val="decimal"/>
      <w:lvlText w:val="%1.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color w:val="1F2937"/>
      </w:rPr>
    </w:rPrDefault>
    <w:pPrDefault>
      <w:pPr>
        <w:spacing w:after="120" w:line="288" w:lineRule="auto"/>
      </w:pPr>
    </w:pPrDefault>
  </w:docDefaults>
  <w:style w:type="paragraph" w:styleId="Heading1">
    <w:name w:val="heading 1"/>
    <w:pPr>
      <w:spacing w:before="240" w:after="120"/>
    </w:pPr>
    <w:rPr>
      <w:rFonts w:ascii="Calibri" w:hAnsi="Calibri"/>
      <w:b/>
      <w:sz w:val="40"/>
      <w:color w:val="0F172A"/>
    </w:rPr>
  </w:style>
  <w:style w:type="paragraph" w:styleId="Heading2">
    <w:name w:val="heading 2"/>
    <w:pPr>
      <w:spacing w:before="200" w:after="80"/>
    </w:pPr>
    <w:rPr>
      <w:rFonts w:ascii="Calibri" w:hAnsi="Calibri"/>
      <w:b/>
      <w:sz w:val="28"/>
      <w:color w:val="1E40AF"/>
    </w:rPr>
  </w:style>
  <w:style w:type="paragraph" w:styleId="Heading3">
    <w:name w:val="heading 3"/>
    <w:pPr>
      <w:spacing w:before="160" w:after="60"/>
    </w:pPr>
    <w:rPr>
      <w:b/>
      <w:sz w:val="24"/>
      <w:color w:val="334155"/>
    </w:rPr>
  </w:style>
  <w:style w:type="paragraph" w:styleId="ListBullet">
    <w:name w:val="List Bullet"/>
  </w:style>
  <w:style w:type="paragraph" w:styleId="ListNumber">
    <w:name w:val="List Number"/>
  </w:style>
  <w:style w:type="table" w:styleId="TableGrid">
    <w:name w:val="Table Grid"/>
    <w:tblPr>
      <w:tblBorders>
        <w:top w:val="single" w:sz="4" w:color="CBD5E1"/>
      </w:tblBorders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