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6"/>
        </w:rPr>
        <w:t>Local Meeting Intelligence Desktop</w:t>
      </w:r>
    </w:p>
    <w:p>
      <w:pPr>
        <w:jc w:val="center"/>
      </w:pPr>
      <w:r>
        <w:rPr>
          <w:color w:val="475569"/>
          <w:sz w:val="26"/>
        </w:rPr>
        <w:t>Detailed cross-platform architecture specification for Tauri, Rust, local speech recognition and local LLM inference</w:t>
      </w:r>
    </w:p>
    <w:p>
      <w:pPr>
        <w:jc w:val="center"/>
      </w:pPr>
      <w:r>
        <w:rPr>
          <w:color w:val="475569"/>
          <w:sz w:val="18"/>
        </w:rPr>
        <w:t>Production architecture baseline • Fully local after model installation • July 2026</w:t>
      </w:r>
    </w:p>
    <w:p/>
    <w:tbl>
      <w:tblPr>
        <w:tblStyle w:val="TableGrid"/>
        <w:tblW w:type="auto" w:w="0"/>
        <w:tblLook w:firstColumn="1" w:firstRow="1" w:lastColumn="0" w:lastRow="0" w:noHBand="0" w:noVBand="1" w:val="04A0"/>
      </w:tblPr>
      <w:tblGrid>
        <w:gridCol w:w="10080"/>
      </w:tblGrid>
      <w:tr>
        <w:tc>
          <w:tcPr>
            <w:tcW w:type="dxa" w:w="10080"/>
            <w:shd w:fill="EFF6FF"/>
          </w:tcPr>
          <w:p>
            <w:r>
              <w:rPr>
                <w:b/>
                <w:color w:val="2563EB"/>
              </w:rPr>
              <w:t xml:space="preserve">Architectural position — </w:t>
            </w:r>
            <w:r>
              <w:t>The product is a local desktop system, not a hosted SaaS. Network access is restricted to explicit model and application-update workflows. Recording, transcription, summarization, storage, search and export operate without network connectivity.</w:t>
            </w:r>
          </w:p>
        </w:tc>
      </w:tr>
    </w:tbl>
    <w:p>
      <w:pPr>
        <w:pStyle w:val="Heading1"/>
      </w:pPr>
      <w:r>
        <w:t>1. Executive summary</w:t>
      </w:r>
    </w:p>
    <w:p>
      <w:r>
        <w:t>The application captures microphone audio and audio emitted by one user-selected application, transcribes it locally, and produces structured notes, minutes, decisions and action items using local models. The cross-platform shell is Tauri 2. The durable domain, session, model, storage and orchestration layers are implemented in Rust. OS-specific media capture is isolated behind native adapters because per-application capture semantics differ fundamentally across macOS, Windows and Linux.</w:t>
      </w:r>
    </w:p>
    <w:p>
      <w:r>
        <w:t>A production implementation must avoid routing raw PCM through the WebView or serializing audio as JSON. Native capture threads write timestamped audio frames into bounded lock-free queues. The Rust media pipeline consumes those frames, performs normalization, resampling, voice activity detection and chunking, then sends work to independent speech and language inference schedulers.</w:t>
      </w:r>
    </w:p>
    <w:p>
      <w:pPr>
        <w:pStyle w:val="Heading1"/>
      </w:pPr>
      <w:r>
        <w:t>2. Scope and quality bar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2563EB"/>
            <w:vAlign w:val="center"/>
          </w:tcPr>
          <w:p>
            <w:r>
              <w:rPr>
                <w:b/>
                <w:color w:val="FFFFFF"/>
                <w:sz w:val="17"/>
              </w:rPr>
              <w:t>Area</w:t>
            </w:r>
          </w:p>
        </w:tc>
        <w:tc>
          <w:tcPr>
            <w:tcW w:type="dxa" w:w="5040"/>
            <w:shd w:fill="2563EB"/>
            <w:vAlign w:val="center"/>
          </w:tcPr>
          <w:p>
            <w:r>
              <w:rPr>
                <w:b/>
                <w:color w:val="FFFFFF"/>
                <w:sz w:val="17"/>
              </w:rPr>
              <w:t>Production requirement</w:t>
            </w:r>
          </w:p>
        </w:tc>
      </w:tr>
      <w:tr>
        <w:tc>
          <w:tcPr>
            <w:tcW w:type="dxa" w:w="5040"/>
            <w:vAlign w:val="top"/>
          </w:tcPr>
          <w:p>
            <w:r>
              <w:rPr>
                <w:sz w:val="16"/>
              </w:rPr>
              <w:t>Local operation</w:t>
            </w:r>
          </w:p>
        </w:tc>
        <w:tc>
          <w:tcPr>
            <w:tcW w:type="dxa" w:w="5040"/>
            <w:vAlign w:val="top"/>
          </w:tcPr>
          <w:p>
            <w:r>
              <w:rPr>
                <w:sz w:val="16"/>
              </w:rPr>
              <w:t>No network dependency after models are installed; offline mode is testable and enforced.</w:t>
            </w:r>
          </w:p>
        </w:tc>
      </w:tr>
      <w:tr>
        <w:tc>
          <w:tcPr>
            <w:tcW w:type="dxa" w:w="5040"/>
            <w:vAlign w:val="top"/>
          </w:tcPr>
          <w:p>
            <w:r>
              <w:rPr>
                <w:sz w:val="16"/>
              </w:rPr>
              <w:t>Capture</w:t>
            </w:r>
          </w:p>
        </w:tc>
        <w:tc>
          <w:tcPr>
            <w:tcW w:type="dxa" w:w="5040"/>
            <w:vAlign w:val="top"/>
          </w:tcPr>
          <w:p>
            <w:r>
              <w:rPr>
                <w:sz w:val="16"/>
              </w:rPr>
              <w:t>Microphone, selected application, or both; no hidden recording; explicit OS permission and visible indicator.</w:t>
            </w:r>
          </w:p>
        </w:tc>
      </w:tr>
      <w:tr>
        <w:tc>
          <w:tcPr>
            <w:tcW w:type="dxa" w:w="5040"/>
            <w:vAlign w:val="top"/>
          </w:tcPr>
          <w:p>
            <w:r>
              <w:rPr>
                <w:sz w:val="16"/>
              </w:rPr>
              <w:t>Reliability</w:t>
            </w:r>
          </w:p>
        </w:tc>
        <w:tc>
          <w:tcPr>
            <w:tcW w:type="dxa" w:w="5040"/>
            <w:vAlign w:val="top"/>
          </w:tcPr>
          <w:p>
            <w:r>
              <w:rPr>
                <w:sz w:val="16"/>
              </w:rPr>
              <w:t>Crash-safe session journal; resumable post-processing; recording continues if UI or LLM generation fails.</w:t>
            </w:r>
          </w:p>
        </w:tc>
      </w:tr>
      <w:tr>
        <w:tc>
          <w:tcPr>
            <w:tcW w:type="dxa" w:w="5040"/>
            <w:vAlign w:val="top"/>
          </w:tcPr>
          <w:p>
            <w:r>
              <w:rPr>
                <w:sz w:val="16"/>
              </w:rPr>
              <w:t>Accuracy</w:t>
            </w:r>
          </w:p>
        </w:tc>
        <w:tc>
          <w:tcPr>
            <w:tcW w:type="dxa" w:w="5040"/>
            <w:vAlign w:val="top"/>
          </w:tcPr>
          <w:p>
            <w:r>
              <w:rPr>
                <w:sz w:val="16"/>
              </w:rPr>
              <w:t>Two-pass transcription; deterministic structured-output validation; user-editable transcript and notes.</w:t>
            </w:r>
          </w:p>
        </w:tc>
      </w:tr>
      <w:tr>
        <w:tc>
          <w:tcPr>
            <w:tcW w:type="dxa" w:w="5040"/>
            <w:vAlign w:val="top"/>
          </w:tcPr>
          <w:p>
            <w:r>
              <w:rPr>
                <w:sz w:val="16"/>
              </w:rPr>
              <w:t>Portability</w:t>
            </w:r>
          </w:p>
        </w:tc>
        <w:tc>
          <w:tcPr>
            <w:tcW w:type="dxa" w:w="5040"/>
            <w:vAlign w:val="top"/>
          </w:tcPr>
          <w:p>
            <w:r>
              <w:rPr>
                <w:sz w:val="16"/>
              </w:rPr>
              <w:t>macOS, Windows and Linux with a common contract and platform-specific capability reporting.</w:t>
            </w:r>
          </w:p>
        </w:tc>
      </w:tr>
      <w:tr>
        <w:tc>
          <w:tcPr>
            <w:tcW w:type="dxa" w:w="5040"/>
            <w:vAlign w:val="top"/>
          </w:tcPr>
          <w:p>
            <w:r>
              <w:rPr>
                <w:sz w:val="16"/>
              </w:rPr>
              <w:t>Security</w:t>
            </w:r>
          </w:p>
        </w:tc>
        <w:tc>
          <w:tcPr>
            <w:tcW w:type="dxa" w:w="5040"/>
            <w:vAlign w:val="top"/>
          </w:tcPr>
          <w:p>
            <w:r>
              <w:rPr>
                <w:sz w:val="16"/>
              </w:rPr>
              <w:t>Least-privilege Tauri capabilities; encrypted secrets; integrity-checked models; no telemetry by default.</w:t>
            </w:r>
          </w:p>
        </w:tc>
      </w:tr>
      <w:tr>
        <w:tc>
          <w:tcPr>
            <w:tcW w:type="dxa" w:w="5040"/>
            <w:vAlign w:val="top"/>
          </w:tcPr>
          <w:p>
            <w:r>
              <w:rPr>
                <w:sz w:val="16"/>
              </w:rPr>
              <w:t>UX</w:t>
            </w:r>
          </w:p>
        </w:tc>
        <w:tc>
          <w:tcPr>
            <w:tcW w:type="dxa" w:w="5040"/>
            <w:vAlign w:val="top"/>
          </w:tcPr>
          <w:p>
            <w:r>
              <w:rPr>
                <w:sz w:val="16"/>
              </w:rPr>
              <w:t>Polished source selection, preflight, live transcript, processing state, review, correction and export workflows.</w:t>
            </w:r>
          </w:p>
        </w:tc>
      </w:tr>
    </w:tbl>
    <w:p>
      <w:pPr>
        <w:pStyle w:val="Heading1"/>
      </w:pPr>
      <w:r>
        <w:t>3. System context</w:t>
      </w:r>
    </w:p>
    <w:p>
      <w:pPr>
        <w:pStyle w:val="CodeBlock"/>
      </w:pPr>
      <w:r>
        <w:t>+---------------- User desktop ----------------+</w:t>
      </w:r>
    </w:p>
    <w:p>
      <w:pPr>
        <w:pStyle w:val="CodeBlock"/>
      </w:pPr>
      <w:r>
        <w:t>|                                                |</w:t>
      </w:r>
    </w:p>
    <w:p>
      <w:pPr>
        <w:pStyle w:val="CodeBlock"/>
      </w:pPr>
      <w:r>
        <w:t>| Selected app audio      Microphone             |</w:t>
      </w:r>
    </w:p>
    <w:p>
      <w:pPr>
        <w:pStyle w:val="CodeBlock"/>
      </w:pPr>
      <w:r>
        <w:t>|        |                    |                  |</w:t>
      </w:r>
    </w:p>
    <w:p>
      <w:pPr>
        <w:pStyle w:val="CodeBlock"/>
      </w:pPr>
      <w:r>
        <w:t>|        +---- Native Capture Adapters ----------+</w:t>
      </w:r>
    </w:p>
    <w:p>
      <w:pPr>
        <w:pStyle w:val="CodeBlock"/>
      </w:pPr>
      <w:r>
        <w:t>|                             |                  |</w:t>
      </w:r>
    </w:p>
    <w:p>
      <w:pPr>
        <w:pStyle w:val="CodeBlock"/>
      </w:pPr>
      <w:r>
        <w:t>|                    Rust Media Pipeline          |</w:t>
      </w:r>
    </w:p>
    <w:p>
      <w:pPr>
        <w:pStyle w:val="CodeBlock"/>
      </w:pPr>
      <w:r>
        <w:t>|                             |                  |</w:t>
      </w:r>
    </w:p>
    <w:p>
      <w:pPr>
        <w:pStyle w:val="CodeBlock"/>
      </w:pPr>
      <w:r>
        <w:t>|        +--------------------+----------------+ |</w:t>
      </w:r>
    </w:p>
    <w:p>
      <w:pPr>
        <w:pStyle w:val="CodeBlock"/>
      </w:pPr>
      <w:r>
        <w:t>|        |                    |                | |</w:t>
      </w:r>
    </w:p>
    <w:p>
      <w:pPr>
        <w:pStyle w:val="CodeBlock"/>
      </w:pPr>
      <w:r>
        <w:t>|  Speech Engine         LLM Engine      Storage/Search|</w:t>
      </w:r>
    </w:p>
    <w:p>
      <w:pPr>
        <w:pStyle w:val="CodeBlock"/>
      </w:pPr>
      <w:r>
        <w:t>|        |                    |                | |</w:t>
      </w:r>
    </w:p>
    <w:p>
      <w:pPr>
        <w:pStyle w:val="CodeBlock"/>
      </w:pPr>
      <w:r>
        <w:t>|        +----------- Session Domain ----------+ |</w:t>
      </w:r>
    </w:p>
    <w:p>
      <w:pPr>
        <w:pStyle w:val="CodeBlock"/>
      </w:pPr>
      <w:r>
        <w:t>|                             |                  |</w:t>
      </w:r>
    </w:p>
    <w:p>
      <w:pPr>
        <w:pStyle w:val="CodeBlock"/>
      </w:pPr>
      <w:r>
        <w:t>|                      Tauri command API          |</w:t>
      </w:r>
    </w:p>
    <w:p>
      <w:pPr>
        <w:pStyle w:val="CodeBlock"/>
      </w:pPr>
      <w:r>
        <w:t>|                             |                  |</w:t>
      </w:r>
    </w:p>
    <w:p>
      <w:pPr>
        <w:pStyle w:val="CodeBlock"/>
      </w:pPr>
      <w:r>
        <w:t>|                     Desktop WebView UI           |</w:t>
      </w:r>
    </w:p>
    <w:p>
      <w:pPr>
        <w:pStyle w:val="CodeBlock"/>
      </w:pPr>
      <w:r>
        <w:t>+------------------------------------------------+</w:t>
      </w:r>
    </w:p>
    <w:p>
      <w:pPr>
        <w:pStyle w:val="CodeBlock"/>
      </w:pPr>
      <w:r>
        <w:t xml:space="preserve">             Network allowed only for:</w:t>
      </w:r>
    </w:p>
    <w:p>
      <w:pPr>
        <w:pStyle w:val="CodeBlock"/>
      </w:pPr>
      <w:r>
        <w:t xml:space="preserve">             model download and signed updates</w:t>
      </w:r>
    </w:p>
    <w:p>
      <w:pPr>
        <w:pStyle w:val="Heading1"/>
      </w:pPr>
      <w:r>
        <w:t>4. Architectural principles</w:t>
      </w:r>
    </w:p>
    <w:p>
      <w:pPr>
        <w:pStyle w:val="ListBullet"/>
      </w:pPr>
      <w:r>
        <w:t>Capture is a safety-critical native subsystem: it must remain independent from the WebView lifecycle.</w:t>
      </w:r>
    </w:p>
    <w:p>
      <w:pPr>
        <w:pStyle w:val="ListBullet"/>
      </w:pPr>
      <w:r>
        <w:t>Raw audio remains in native memory and local files; the frontend receives only meters, state and text events.</w:t>
      </w:r>
    </w:p>
    <w:p>
      <w:pPr>
        <w:pStyle w:val="ListBullet"/>
      </w:pPr>
      <w:r>
        <w:t>Every expensive model is behind a stable engine interface with capability discovery and cancellation.</w:t>
      </w:r>
    </w:p>
    <w:p>
      <w:pPr>
        <w:pStyle w:val="ListBullet"/>
      </w:pPr>
      <w:r>
        <w:t>Live transcription and final transcription are separate quality tiers.</w:t>
      </w:r>
    </w:p>
    <w:p>
      <w:pPr>
        <w:pStyle w:val="ListBullet"/>
      </w:pPr>
      <w:r>
        <w:t>The application persists an append-only session journal before derived AI artifacts.</w:t>
      </w:r>
    </w:p>
    <w:p>
      <w:pPr>
        <w:pStyle w:val="ListBullet"/>
      </w:pPr>
      <w:r>
        <w:t>Platform differences are surfaced honestly in UX instead of hidden behind unreliable abstractions.</w:t>
      </w:r>
    </w:p>
    <w:p>
      <w:pPr>
        <w:pStyle w:val="ListBullet"/>
      </w:pPr>
      <w:r>
        <w:t>Offline behavior is a first-class automated test target, not an assumption.</w:t>
      </w:r>
    </w:p>
    <w:p>
      <w:pPr>
        <w:pStyle w:val="Heading1"/>
      </w:pPr>
      <w:r>
        <w:t>5. Logical component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563EB"/>
            <w:vAlign w:val="center"/>
          </w:tcPr>
          <w:p>
            <w:r>
              <w:rPr>
                <w:b/>
                <w:color w:val="FFFFFF"/>
                <w:sz w:val="17"/>
              </w:rPr>
              <w:t>Component</w:t>
            </w:r>
          </w:p>
        </w:tc>
        <w:tc>
          <w:tcPr>
            <w:tcW w:type="dxa" w:w="3360"/>
            <w:shd w:fill="2563EB"/>
            <w:vAlign w:val="center"/>
          </w:tcPr>
          <w:p>
            <w:r>
              <w:rPr>
                <w:b/>
                <w:color w:val="FFFFFF"/>
                <w:sz w:val="17"/>
              </w:rPr>
              <w:t>Responsibilities</w:t>
            </w:r>
          </w:p>
        </w:tc>
        <w:tc>
          <w:tcPr>
            <w:tcW w:type="dxa" w:w="3360"/>
            <w:shd w:fill="2563EB"/>
            <w:vAlign w:val="center"/>
          </w:tcPr>
          <w:p>
            <w:r>
              <w:rPr>
                <w:b/>
                <w:color w:val="FFFFFF"/>
                <w:sz w:val="17"/>
              </w:rPr>
              <w:t>Technology</w:t>
            </w:r>
          </w:p>
        </w:tc>
      </w:tr>
      <w:tr>
        <w:tc>
          <w:tcPr>
            <w:tcW w:type="dxa" w:w="3360"/>
            <w:vAlign w:val="top"/>
          </w:tcPr>
          <w:p>
            <w:r>
              <w:rPr>
                <w:sz w:val="16"/>
              </w:rPr>
              <w:t>Desktop shell</w:t>
            </w:r>
          </w:p>
        </w:tc>
        <w:tc>
          <w:tcPr>
            <w:tcW w:type="dxa" w:w="3360"/>
            <w:vAlign w:val="top"/>
          </w:tcPr>
          <w:p>
            <w:r>
              <w:rPr>
                <w:sz w:val="16"/>
              </w:rPr>
              <w:t>Window lifecycle, tray, global recording status, capability policy</w:t>
            </w:r>
          </w:p>
        </w:tc>
        <w:tc>
          <w:tcPr>
            <w:tcW w:type="dxa" w:w="3360"/>
            <w:vAlign w:val="top"/>
          </w:tcPr>
          <w:p>
            <w:r>
              <w:rPr>
                <w:sz w:val="16"/>
              </w:rPr>
              <w:t>Tauri 2 + native WebView</w:t>
            </w:r>
          </w:p>
        </w:tc>
      </w:tr>
      <w:tr>
        <w:tc>
          <w:tcPr>
            <w:tcW w:type="dxa" w:w="3360"/>
            <w:vAlign w:val="top"/>
          </w:tcPr>
          <w:p>
            <w:r>
              <w:rPr>
                <w:sz w:val="16"/>
              </w:rPr>
              <w:t>Frontend</w:t>
            </w:r>
          </w:p>
        </w:tc>
        <w:tc>
          <w:tcPr>
            <w:tcW w:type="dxa" w:w="3360"/>
            <w:vAlign w:val="top"/>
          </w:tcPr>
          <w:p>
            <w:r>
              <w:rPr>
                <w:sz w:val="16"/>
              </w:rPr>
              <w:t>Source picker, live transcript, review editor, model manager, settings</w:t>
            </w:r>
          </w:p>
        </w:tc>
        <w:tc>
          <w:tcPr>
            <w:tcW w:type="dxa" w:w="3360"/>
            <w:vAlign w:val="top"/>
          </w:tcPr>
          <w:p>
            <w:r>
              <w:rPr>
                <w:sz w:val="16"/>
              </w:rPr>
              <w:t>React/TypeScript or Svelte/TypeScript</w:t>
            </w:r>
          </w:p>
        </w:tc>
      </w:tr>
      <w:tr>
        <w:tc>
          <w:tcPr>
            <w:tcW w:type="dxa" w:w="3360"/>
            <w:vAlign w:val="top"/>
          </w:tcPr>
          <w:p>
            <w:r>
              <w:rPr>
                <w:sz w:val="16"/>
              </w:rPr>
              <w:t>Session coordinator</w:t>
            </w:r>
          </w:p>
        </w:tc>
        <w:tc>
          <w:tcPr>
            <w:tcW w:type="dxa" w:w="3360"/>
            <w:vAlign w:val="top"/>
          </w:tcPr>
          <w:p>
            <w:r>
              <w:rPr>
                <w:sz w:val="16"/>
              </w:rPr>
              <w:t>State machine, cancellation, recovery, event sequencing</w:t>
            </w:r>
          </w:p>
        </w:tc>
        <w:tc>
          <w:tcPr>
            <w:tcW w:type="dxa" w:w="3360"/>
            <w:vAlign w:val="top"/>
          </w:tcPr>
          <w:p>
            <w:r>
              <w:rPr>
                <w:sz w:val="16"/>
              </w:rPr>
              <w:t>Rust + Tokio</w:t>
            </w:r>
          </w:p>
        </w:tc>
      </w:tr>
      <w:tr>
        <w:tc>
          <w:tcPr>
            <w:tcW w:type="dxa" w:w="3360"/>
            <w:vAlign w:val="top"/>
          </w:tcPr>
          <w:p>
            <w:r>
              <w:rPr>
                <w:sz w:val="16"/>
              </w:rPr>
              <w:t>Capture service</w:t>
            </w:r>
          </w:p>
        </w:tc>
        <w:tc>
          <w:tcPr>
            <w:tcW w:type="dxa" w:w="3360"/>
            <w:vAlign w:val="top"/>
          </w:tcPr>
          <w:p>
            <w:r>
              <w:rPr>
                <w:sz w:val="16"/>
              </w:rPr>
              <w:t>Application enumeration, permission flow, PCM capture, device changes</w:t>
            </w:r>
          </w:p>
        </w:tc>
        <w:tc>
          <w:tcPr>
            <w:tcW w:type="dxa" w:w="3360"/>
            <w:vAlign w:val="top"/>
          </w:tcPr>
          <w:p>
            <w:r>
              <w:rPr>
                <w:sz w:val="16"/>
              </w:rPr>
              <w:t>Native adapters</w:t>
            </w:r>
          </w:p>
        </w:tc>
      </w:tr>
      <w:tr>
        <w:tc>
          <w:tcPr>
            <w:tcW w:type="dxa" w:w="3360"/>
            <w:vAlign w:val="top"/>
          </w:tcPr>
          <w:p>
            <w:r>
              <w:rPr>
                <w:sz w:val="16"/>
              </w:rPr>
              <w:t>Media pipeline</w:t>
            </w:r>
          </w:p>
        </w:tc>
        <w:tc>
          <w:tcPr>
            <w:tcW w:type="dxa" w:w="3360"/>
            <w:vAlign w:val="top"/>
          </w:tcPr>
          <w:p>
            <w:r>
              <w:rPr>
                <w:sz w:val="16"/>
              </w:rPr>
              <w:t>Clock alignment, channel conversion, resampling, VAD, chunking, optional recording</w:t>
            </w:r>
          </w:p>
        </w:tc>
        <w:tc>
          <w:tcPr>
            <w:tcW w:type="dxa" w:w="3360"/>
            <w:vAlign w:val="top"/>
          </w:tcPr>
          <w:p>
            <w:r>
              <w:rPr>
                <w:sz w:val="16"/>
              </w:rPr>
              <w:t>Rust; ring buffers; rubato/dasp</w:t>
            </w:r>
          </w:p>
        </w:tc>
      </w:tr>
      <w:tr>
        <w:tc>
          <w:tcPr>
            <w:tcW w:type="dxa" w:w="3360"/>
            <w:vAlign w:val="top"/>
          </w:tcPr>
          <w:p>
            <w:r>
              <w:rPr>
                <w:sz w:val="16"/>
              </w:rPr>
              <w:t>Speech service</w:t>
            </w:r>
          </w:p>
        </w:tc>
        <w:tc>
          <w:tcPr>
            <w:tcW w:type="dxa" w:w="3360"/>
            <w:vAlign w:val="top"/>
          </w:tcPr>
          <w:p>
            <w:r>
              <w:rPr>
                <w:sz w:val="16"/>
              </w:rPr>
              <w:t>Streaming decode, stabilization, final decode, language detection</w:t>
            </w:r>
          </w:p>
        </w:tc>
        <w:tc>
          <w:tcPr>
            <w:tcW w:type="dxa" w:w="3360"/>
            <w:vAlign w:val="top"/>
          </w:tcPr>
          <w:p>
            <w:r>
              <w:rPr>
                <w:sz w:val="16"/>
              </w:rPr>
              <w:t>whisper.cpp adapter</w:t>
            </w:r>
          </w:p>
        </w:tc>
      </w:tr>
      <w:tr>
        <w:tc>
          <w:tcPr>
            <w:tcW w:type="dxa" w:w="3360"/>
            <w:vAlign w:val="top"/>
          </w:tcPr>
          <w:p>
            <w:r>
              <w:rPr>
                <w:sz w:val="16"/>
              </w:rPr>
              <w:t>Language service</w:t>
            </w:r>
          </w:p>
        </w:tc>
        <w:tc>
          <w:tcPr>
            <w:tcW w:type="dxa" w:w="3360"/>
            <w:vAlign w:val="top"/>
          </w:tcPr>
          <w:p>
            <w:r>
              <w:rPr>
                <w:sz w:val="16"/>
              </w:rPr>
              <w:t>Structured extraction, summaries, chat and transformations</w:t>
            </w:r>
          </w:p>
        </w:tc>
        <w:tc>
          <w:tcPr>
            <w:tcW w:type="dxa" w:w="3360"/>
            <w:vAlign w:val="top"/>
          </w:tcPr>
          <w:p>
            <w:r>
              <w:rPr>
                <w:sz w:val="16"/>
              </w:rPr>
              <w:t>llama.cpp adapter</w:t>
            </w:r>
          </w:p>
        </w:tc>
      </w:tr>
      <w:tr>
        <w:tc>
          <w:tcPr>
            <w:tcW w:type="dxa" w:w="3360"/>
            <w:vAlign w:val="top"/>
          </w:tcPr>
          <w:p>
            <w:r>
              <w:rPr>
                <w:sz w:val="16"/>
              </w:rPr>
              <w:t>Embedding/search</w:t>
            </w:r>
          </w:p>
        </w:tc>
        <w:tc>
          <w:tcPr>
            <w:tcW w:type="dxa" w:w="3360"/>
            <w:vAlign w:val="top"/>
          </w:tcPr>
          <w:p>
            <w:r>
              <w:rPr>
                <w:sz w:val="16"/>
              </w:rPr>
              <w:t>FTS and semantic retrieval over sessions</w:t>
            </w:r>
          </w:p>
        </w:tc>
        <w:tc>
          <w:tcPr>
            <w:tcW w:type="dxa" w:w="3360"/>
            <w:vAlign w:val="top"/>
          </w:tcPr>
          <w:p>
            <w:r>
              <w:rPr>
                <w:sz w:val="16"/>
              </w:rPr>
              <w:t>SQLite FTS5 + local embedding engine</w:t>
            </w:r>
          </w:p>
        </w:tc>
      </w:tr>
      <w:tr>
        <w:tc>
          <w:tcPr>
            <w:tcW w:type="dxa" w:w="3360"/>
            <w:vAlign w:val="top"/>
          </w:tcPr>
          <w:p>
            <w:r>
              <w:rPr>
                <w:sz w:val="16"/>
              </w:rPr>
              <w:t>Persistence</w:t>
            </w:r>
          </w:p>
        </w:tc>
        <w:tc>
          <w:tcPr>
            <w:tcW w:type="dxa" w:w="3360"/>
            <w:vAlign w:val="top"/>
          </w:tcPr>
          <w:p>
            <w:r>
              <w:rPr>
                <w:sz w:val="16"/>
              </w:rPr>
              <w:t>Journal, metadata, transcripts, artifacts, model registry</w:t>
            </w:r>
          </w:p>
        </w:tc>
        <w:tc>
          <w:tcPr>
            <w:tcW w:type="dxa" w:w="3360"/>
            <w:vAlign w:val="top"/>
          </w:tcPr>
          <w:p>
            <w:r>
              <w:rPr>
                <w:sz w:val="16"/>
              </w:rPr>
              <w:t>SQLite + content-addressed files</w:t>
            </w:r>
          </w:p>
        </w:tc>
      </w:tr>
      <w:tr>
        <w:tc>
          <w:tcPr>
            <w:tcW w:type="dxa" w:w="3360"/>
            <w:vAlign w:val="top"/>
          </w:tcPr>
          <w:p>
            <w:r>
              <w:rPr>
                <w:sz w:val="16"/>
              </w:rPr>
              <w:t>Model manager</w:t>
            </w:r>
          </w:p>
        </w:tc>
        <w:tc>
          <w:tcPr>
            <w:tcW w:type="dxa" w:w="3360"/>
            <w:vAlign w:val="top"/>
          </w:tcPr>
          <w:p>
            <w:r>
              <w:rPr>
                <w:sz w:val="16"/>
              </w:rPr>
              <w:t>Download, resume, checksums, compatibility, storage quotas</w:t>
            </w:r>
          </w:p>
        </w:tc>
        <w:tc>
          <w:tcPr>
            <w:tcW w:type="dxa" w:w="3360"/>
            <w:vAlign w:val="top"/>
          </w:tcPr>
          <w:p>
            <w:r>
              <w:rPr>
                <w:sz w:val="16"/>
              </w:rPr>
              <w:t>Rust HTTP downloader used only explicitly</w:t>
            </w:r>
          </w:p>
        </w:tc>
      </w:tr>
      <w:tr>
        <w:tc>
          <w:tcPr>
            <w:tcW w:type="dxa" w:w="3360"/>
            <w:vAlign w:val="top"/>
          </w:tcPr>
          <w:p>
            <w:r>
              <w:rPr>
                <w:sz w:val="16"/>
              </w:rPr>
              <w:t>Export</w:t>
            </w:r>
          </w:p>
        </w:tc>
        <w:tc>
          <w:tcPr>
            <w:tcW w:type="dxa" w:w="3360"/>
            <w:vAlign w:val="top"/>
          </w:tcPr>
          <w:p>
            <w:r>
              <w:rPr>
                <w:sz w:val="16"/>
              </w:rPr>
              <w:t>Markdown, HTML, JSON; optional DOCX/PDF rendering</w:t>
            </w:r>
          </w:p>
        </w:tc>
        <w:tc>
          <w:tcPr>
            <w:tcW w:type="dxa" w:w="3360"/>
            <w:vAlign w:val="top"/>
          </w:tcPr>
          <w:p>
            <w:r>
              <w:rPr>
                <w:sz w:val="16"/>
              </w:rPr>
              <w:t>Rust + document libraries</w:t>
            </w:r>
          </w:p>
        </w:tc>
      </w:tr>
    </w:tbl>
    <w:p>
      <w:pPr>
        <w:pStyle w:val="Heading1"/>
      </w:pPr>
      <w:r>
        <w:t>6. Process and thread model</w:t>
      </w:r>
    </w:p>
    <w:p>
      <w:r>
        <w:t>The default product should ship as one signed desktop application with native dynamic/static libraries, not as a collection of user-managed services. Inference engines may run in-process where stable. An optional supervised sidecar mode is retained for isolation on problematic GPU drivers or for engines that cannot safely coexist in one address space.</w:t>
      </w:r>
    </w:p>
    <w:p>
      <w:pPr>
        <w:pStyle w:val="CodeBlock"/>
      </w:pPr>
      <w:r>
        <w:t>UI main thread / WebView</w:t>
      </w:r>
    </w:p>
    <w:p>
      <w:pPr>
        <w:pStyle w:val="CodeBlock"/>
      </w:pPr>
      <w:r>
        <w:t xml:space="preserve">        |</w:t>
      </w:r>
    </w:p>
    <w:p>
      <w:pPr>
        <w:pStyle w:val="CodeBlock"/>
      </w:pPr>
      <w:r>
        <w:t>Tauri IPC dispatcher</w:t>
      </w:r>
    </w:p>
    <w:p>
      <w:pPr>
        <w:pStyle w:val="CodeBlock"/>
      </w:pPr>
      <w:r>
        <w:t xml:space="preserve">        |</w:t>
      </w:r>
    </w:p>
    <w:p>
      <w:pPr>
        <w:pStyle w:val="CodeBlock"/>
      </w:pPr>
      <w:r>
        <w:t>Tokio runtime: session coordinator, persistence, model manager</w:t>
      </w:r>
    </w:p>
    <w:p>
      <w:pPr>
        <w:pStyle w:val="CodeBlock"/>
      </w:pPr>
      <w:r>
        <w:t xml:space="preserve">        |</w:t>
      </w:r>
    </w:p>
    <w:p>
      <w:pPr>
        <w:pStyle w:val="CodeBlock"/>
      </w:pPr>
      <w:r>
        <w:t>+-------------------+-------------------+</w:t>
      </w:r>
    </w:p>
    <w:p>
      <w:pPr>
        <w:pStyle w:val="CodeBlock"/>
      </w:pPr>
      <w:r>
        <w:t>| Capture RT thread | STT workers       | LLM worker</w:t>
      </w:r>
    </w:p>
    <w:p>
      <w:pPr>
        <w:pStyle w:val="CodeBlock"/>
      </w:pPr>
      <w:r>
        <w:t>| no blocking I/O   | bounded queue     | serialized by default</w:t>
      </w:r>
    </w:p>
    <w:p>
      <w:pPr>
        <w:pStyle w:val="CodeBlock"/>
      </w:pPr>
      <w:r>
        <w:t>+-------------------+-------------------+</w:t>
      </w:r>
    </w:p>
    <w:p>
      <w:pPr>
        <w:pStyle w:val="CodeBlock"/>
      </w:pPr>
      <w:r>
        <w:t xml:space="preserve">        |</w:t>
      </w:r>
    </w:p>
    <w:p>
      <w:pPr>
        <w:pStyle w:val="CodeBlock"/>
      </w:pPr>
      <w:r>
        <w:t>Background writer: audio chunks + session journal + checkpoints</w:t>
      </w:r>
    </w:p>
    <w:tbl>
      <w:tblPr>
        <w:tblStyle w:val="TableGrid"/>
        <w:tblW w:type="auto" w:w="0"/>
        <w:tblLook w:firstColumn="1" w:firstRow="1" w:lastColumn="0" w:lastRow="0" w:noHBand="0" w:noVBand="1" w:val="04A0"/>
      </w:tblPr>
      <w:tblGrid>
        <w:gridCol w:w="10080"/>
      </w:tblGrid>
      <w:tr>
        <w:tc>
          <w:tcPr>
            <w:tcW w:type="dxa" w:w="10080"/>
            <w:shd w:fill="EFF6FF"/>
          </w:tcPr>
          <w:p>
            <w:r>
              <w:rPr>
                <w:b/>
                <w:color w:val="2563EB"/>
              </w:rPr>
              <w:t xml:space="preserve">Rule — </w:t>
            </w:r>
            <w:r>
              <w:t>No database transaction, allocation-heavy conversion, model inference, logging flush or UI event emission is allowed on an OS real-time audio callback.</w:t>
            </w:r>
          </w:p>
        </w:tc>
      </w:tr>
    </w:tbl>
    <w:p>
      <w:pPr>
        <w:pStyle w:val="Heading1"/>
      </w:pPr>
      <w:r>
        <w:t>7. Core domain model</w:t>
      </w:r>
    </w:p>
    <w:p>
      <w:pPr>
        <w:pStyle w:val="CodeBlock"/>
      </w:pPr>
      <w:r>
        <w:t>Session</w:t>
      </w:r>
    </w:p>
    <w:p>
      <w:pPr>
        <w:pStyle w:val="CodeBlock"/>
      </w:pPr>
      <w:r>
        <w:t xml:space="preserve">  id, title, started_at, ended_at, state, language, template_id</w:t>
      </w:r>
    </w:p>
    <w:p>
      <w:pPr>
        <w:pStyle w:val="CodeBlock"/>
      </w:pPr>
      <w:r>
        <w:t>CaptureSource</w:t>
      </w:r>
    </w:p>
    <w:p>
      <w:pPr>
        <w:pStyle w:val="CodeBlock"/>
      </w:pPr>
      <w:r>
        <w:t xml:space="preserve">  microphone(device_id) | application(platform_app_id) | both</w:t>
      </w:r>
    </w:p>
    <w:p>
      <w:pPr>
        <w:pStyle w:val="CodeBlock"/>
      </w:pPr>
      <w:r>
        <w:t>AudioTrack</w:t>
      </w:r>
    </w:p>
    <w:p>
      <w:pPr>
        <w:pStyle w:val="CodeBlock"/>
      </w:pPr>
      <w:r>
        <w:t xml:space="preserve">  source_kind, native_clock, sample_rate, channels, segments</w:t>
      </w:r>
    </w:p>
    <w:p>
      <w:pPr>
        <w:pStyle w:val="CodeBlock"/>
      </w:pPr>
      <w:r>
        <w:t>TranscriptSegment</w:t>
      </w:r>
    </w:p>
    <w:p>
      <w:pPr>
        <w:pStyle w:val="CodeBlock"/>
      </w:pPr>
      <w:r>
        <w:t xml:space="preserve">  id, track, start_ms, end_ms, text, confidence, revision, final</w:t>
      </w:r>
    </w:p>
    <w:p>
      <w:pPr>
        <w:pStyle w:val="CodeBlock"/>
      </w:pPr>
      <w:r>
        <w:t>Artifact</w:t>
      </w:r>
    </w:p>
    <w:p>
      <w:pPr>
        <w:pStyle w:val="CodeBlock"/>
      </w:pPr>
      <w:r>
        <w:t xml:space="preserve">  kind(summary|mom|actions|decisions|custom), schema_version, content</w:t>
      </w:r>
    </w:p>
    <w:p>
      <w:pPr>
        <w:pStyle w:val="CodeBlock"/>
      </w:pPr>
      <w:r>
        <w:t>ActionItem</w:t>
      </w:r>
    </w:p>
    <w:p>
      <w:pPr>
        <w:pStyle w:val="CodeBlock"/>
      </w:pPr>
      <w:r>
        <w:t xml:space="preserve">  description, owner_text, due_date_text, evidence_segment_ids, status</w:t>
      </w:r>
    </w:p>
    <w:p>
      <w:pPr>
        <w:pStyle w:val="CodeBlock"/>
      </w:pPr>
      <w:r>
        <w:t>ModelInstallation</w:t>
      </w:r>
    </w:p>
    <w:p>
      <w:pPr>
        <w:pStyle w:val="CodeBlock"/>
      </w:pPr>
      <w:r>
        <w:t xml:space="preserve">  model_id, engine, version, quantization, checksum, path, capabilities</w:t>
      </w:r>
    </w:p>
    <w:p>
      <w:pPr>
        <w:pStyle w:val="Heading1"/>
      </w:pPr>
      <w:r>
        <w:t>8. Session state machine</w:t>
      </w:r>
    </w:p>
    <w:p>
      <w:pPr>
        <w:pStyle w:val="CodeBlock"/>
      </w:pPr>
      <w:r>
        <w:t>NEW -&gt; PREFLIGHT -&gt; READY -&gt; RECORDING &lt;-&gt; PAUSED -&gt; STOPPING</w:t>
      </w:r>
    </w:p>
    <w:p>
      <w:pPr>
        <w:pStyle w:val="CodeBlock"/>
      </w:pPr>
      <w:r>
        <w:t xml:space="preserve">                                                  -&gt; CAPTURED</w:t>
      </w:r>
    </w:p>
    <w:p>
      <w:pPr>
        <w:pStyle w:val="CodeBlock"/>
      </w:pPr>
      <w:r>
        <w:t>CAPTURED -&gt; FINAL_TRANSCRIBING -&gt; GENERATING -&gt; INDEXING -&gt; COMPLETE</w:t>
      </w:r>
    </w:p>
    <w:p>
      <w:pPr>
        <w:pStyle w:val="CodeBlock"/>
      </w:pPr>
      <w:r>
        <w:t>Any active state -&gt; DEGRADED (recoverable subsystem failure)</w:t>
      </w:r>
    </w:p>
    <w:p>
      <w:pPr>
        <w:pStyle w:val="CodeBlock"/>
      </w:pPr>
      <w:r>
        <w:t>Any state -&gt; FAILED (terminal, journal retained)</w:t>
      </w:r>
    </w:p>
    <w:p>
      <w:pPr>
        <w:pStyle w:val="CodeBlock"/>
      </w:pPr>
      <w:r>
        <w:t>On restart: RECOVERING -&gt; CAPTURED or FAILED</w:t>
      </w:r>
    </w:p>
    <w:p>
      <w:r>
        <w:t>The LLM is never allowed to own the recording state. If LLM generation crashes or runs out of memory, capture and speech processing continue. Final generation can be retried later from persisted transcript segments.</w:t>
      </w:r>
    </w:p>
    <w:p>
      <w:pPr>
        <w:pStyle w:val="Heading1"/>
      </w:pPr>
      <w:r>
        <w:t>9. Audio pipeline</w:t>
      </w:r>
    </w:p>
    <w:p>
      <w:pPr>
        <w:pStyle w:val="ListNumber"/>
      </w:pPr>
      <w:r>
        <w:t>Enumerate and validate the selected application and microphone.</w:t>
      </w:r>
    </w:p>
    <w:p>
      <w:pPr>
        <w:pStyle w:val="ListNumber"/>
      </w:pPr>
      <w:r>
        <w:t>Start independent tracks with native monotonic timestamps.</w:t>
      </w:r>
    </w:p>
    <w:p>
      <w:pPr>
        <w:pStyle w:val="ListNumber"/>
      </w:pPr>
      <w:r>
        <w:t>Convert native formats to planar or interleaved float PCM.</w:t>
      </w:r>
    </w:p>
    <w:p>
      <w:pPr>
        <w:pStyle w:val="ListNumber"/>
      </w:pPr>
      <w:r>
        <w:t>Downmix for speech inference while retaining the original track configuration when audio retention is enabled.</w:t>
      </w:r>
    </w:p>
    <w:p>
      <w:pPr>
        <w:pStyle w:val="ListNumber"/>
      </w:pPr>
      <w:r>
        <w:t>Resample to the speech engine input rate, normally 16 kHz mono.</w:t>
      </w:r>
    </w:p>
    <w:p>
      <w:pPr>
        <w:pStyle w:val="ListNumber"/>
      </w:pPr>
      <w:r>
        <w:t>Apply clipping protection, DC removal and conservative gain normalization.</w:t>
      </w:r>
    </w:p>
    <w:p>
      <w:pPr>
        <w:pStyle w:val="ListNumber"/>
      </w:pPr>
      <w:r>
        <w:t>Run VAD and maintain overlapping utterance windows.</w:t>
      </w:r>
    </w:p>
    <w:p>
      <w:pPr>
        <w:pStyle w:val="ListNumber"/>
      </w:pPr>
      <w:r>
        <w:t>Write recoverable audio chunks and emit inference jobs.</w:t>
      </w:r>
    </w:p>
    <w:p>
      <w:pPr>
        <w:pStyle w:val="ListNumber"/>
      </w:pPr>
      <w:r>
        <w:t>Reconcile partial hypotheses into immutable final transcript segments.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563EB"/>
            <w:vAlign w:val="center"/>
          </w:tcPr>
          <w:p>
            <w:r>
              <w:rPr>
                <w:b/>
                <w:color w:val="FFFFFF"/>
                <w:sz w:val="17"/>
              </w:rPr>
              <w:t>Parameter</w:t>
            </w:r>
          </w:p>
        </w:tc>
        <w:tc>
          <w:tcPr>
            <w:tcW w:type="dxa" w:w="3360"/>
            <w:shd w:fill="2563EB"/>
            <w:vAlign w:val="center"/>
          </w:tcPr>
          <w:p>
            <w:r>
              <w:rPr>
                <w:b/>
                <w:color w:val="FFFFFF"/>
                <w:sz w:val="17"/>
              </w:rPr>
              <w:t>Recommended baseline</w:t>
            </w:r>
          </w:p>
        </w:tc>
        <w:tc>
          <w:tcPr>
            <w:tcW w:type="dxa" w:w="3360"/>
            <w:shd w:fill="2563EB"/>
            <w:vAlign w:val="center"/>
          </w:tcPr>
          <w:p>
            <w:r>
              <w:rPr>
                <w:b/>
                <w:color w:val="FFFFFF"/>
                <w:sz w:val="17"/>
              </w:rPr>
              <w:t>Notes</w:t>
            </w:r>
          </w:p>
        </w:tc>
      </w:tr>
      <w:tr>
        <w:tc>
          <w:tcPr>
            <w:tcW w:type="dxa" w:w="3360"/>
            <w:vAlign w:val="top"/>
          </w:tcPr>
          <w:p>
            <w:r>
              <w:rPr>
                <w:sz w:val="16"/>
              </w:rPr>
              <w:t>Internal speech format</w:t>
            </w:r>
          </w:p>
        </w:tc>
        <w:tc>
          <w:tcPr>
            <w:tcW w:type="dxa" w:w="3360"/>
            <w:vAlign w:val="top"/>
          </w:tcPr>
          <w:p>
            <w:r>
              <w:rPr>
                <w:sz w:val="16"/>
              </w:rPr>
              <w:t>16 kHz, mono, float32</w:t>
            </w:r>
          </w:p>
        </w:tc>
        <w:tc>
          <w:tcPr>
            <w:tcW w:type="dxa" w:w="3360"/>
            <w:vAlign w:val="top"/>
          </w:tcPr>
          <w:p>
            <w:r>
              <w:rPr>
                <w:sz w:val="16"/>
              </w:rPr>
              <w:t>Matches common Whisper processing expectations.</w:t>
            </w:r>
          </w:p>
        </w:tc>
      </w:tr>
      <w:tr>
        <w:tc>
          <w:tcPr>
            <w:tcW w:type="dxa" w:w="3360"/>
            <w:vAlign w:val="top"/>
          </w:tcPr>
          <w:p>
            <w:r>
              <w:rPr>
                <w:sz w:val="16"/>
              </w:rPr>
              <w:t>Capture queue</w:t>
            </w:r>
          </w:p>
        </w:tc>
        <w:tc>
          <w:tcPr>
            <w:tcW w:type="dxa" w:w="3360"/>
            <w:vAlign w:val="top"/>
          </w:tcPr>
          <w:p>
            <w:r>
              <w:rPr>
                <w:sz w:val="16"/>
              </w:rPr>
              <w:t>2–5 seconds bounded</w:t>
            </w:r>
          </w:p>
        </w:tc>
        <w:tc>
          <w:tcPr>
            <w:tcW w:type="dxa" w:w="3360"/>
            <w:vAlign w:val="top"/>
          </w:tcPr>
          <w:p>
            <w:r>
              <w:rPr>
                <w:sz w:val="16"/>
              </w:rPr>
              <w:t>Overflow produces an explicit health event and journal marker.</w:t>
            </w:r>
          </w:p>
        </w:tc>
      </w:tr>
      <w:tr>
        <w:tc>
          <w:tcPr>
            <w:tcW w:type="dxa" w:w="3360"/>
            <w:vAlign w:val="top"/>
          </w:tcPr>
          <w:p>
            <w:r>
              <w:rPr>
                <w:sz w:val="16"/>
              </w:rPr>
              <w:t>Live window</w:t>
            </w:r>
          </w:p>
        </w:tc>
        <w:tc>
          <w:tcPr>
            <w:tcW w:type="dxa" w:w="3360"/>
            <w:vAlign w:val="top"/>
          </w:tcPr>
          <w:p>
            <w:r>
              <w:rPr>
                <w:sz w:val="16"/>
              </w:rPr>
              <w:t>6–12 seconds</w:t>
            </w:r>
          </w:p>
        </w:tc>
        <w:tc>
          <w:tcPr>
            <w:tcW w:type="dxa" w:w="3360"/>
            <w:vAlign w:val="top"/>
          </w:tcPr>
          <w:p>
            <w:r>
              <w:rPr>
                <w:sz w:val="16"/>
              </w:rPr>
              <w:t>Adaptive based on speech rate and device performance.</w:t>
            </w:r>
          </w:p>
        </w:tc>
      </w:tr>
      <w:tr>
        <w:tc>
          <w:tcPr>
            <w:tcW w:type="dxa" w:w="3360"/>
            <w:vAlign w:val="top"/>
          </w:tcPr>
          <w:p>
            <w:r>
              <w:rPr>
                <w:sz w:val="16"/>
              </w:rPr>
              <w:t>Overlap</w:t>
            </w:r>
          </w:p>
        </w:tc>
        <w:tc>
          <w:tcPr>
            <w:tcW w:type="dxa" w:w="3360"/>
            <w:vAlign w:val="top"/>
          </w:tcPr>
          <w:p>
            <w:r>
              <w:rPr>
                <w:sz w:val="16"/>
              </w:rPr>
              <w:t>1–2 seconds</w:t>
            </w:r>
          </w:p>
        </w:tc>
        <w:tc>
          <w:tcPr>
            <w:tcW w:type="dxa" w:w="3360"/>
            <w:vAlign w:val="top"/>
          </w:tcPr>
          <w:p>
            <w:r>
              <w:rPr>
                <w:sz w:val="16"/>
              </w:rPr>
              <w:t>Used for stable token reconciliation.</w:t>
            </w:r>
          </w:p>
        </w:tc>
      </w:tr>
      <w:tr>
        <w:tc>
          <w:tcPr>
            <w:tcW w:type="dxa" w:w="3360"/>
            <w:vAlign w:val="top"/>
          </w:tcPr>
          <w:p>
            <w:r>
              <w:rPr>
                <w:sz w:val="16"/>
              </w:rPr>
              <w:t>Final pass</w:t>
            </w:r>
          </w:p>
        </w:tc>
        <w:tc>
          <w:tcPr>
            <w:tcW w:type="dxa" w:w="3360"/>
            <w:vAlign w:val="top"/>
          </w:tcPr>
          <w:p>
            <w:r>
              <w:rPr>
                <w:sz w:val="16"/>
              </w:rPr>
              <w:t>Full utterances / larger windows</w:t>
            </w:r>
          </w:p>
        </w:tc>
        <w:tc>
          <w:tcPr>
            <w:tcW w:type="dxa" w:w="3360"/>
            <w:vAlign w:val="top"/>
          </w:tcPr>
          <w:p>
            <w:r>
              <w:rPr>
                <w:sz w:val="16"/>
              </w:rPr>
              <w:t>Runs after stop or during idle checkpoints.</w:t>
            </w:r>
          </w:p>
        </w:tc>
      </w:tr>
      <w:tr>
        <w:tc>
          <w:tcPr>
            <w:tcW w:type="dxa" w:w="3360"/>
            <w:vAlign w:val="top"/>
          </w:tcPr>
          <w:p>
            <w:r>
              <w:rPr>
                <w:sz w:val="16"/>
              </w:rPr>
              <w:t>Audio persistence</w:t>
            </w:r>
          </w:p>
        </w:tc>
        <w:tc>
          <w:tcPr>
            <w:tcW w:type="dxa" w:w="3360"/>
            <w:vAlign w:val="top"/>
          </w:tcPr>
          <w:p>
            <w:r>
              <w:rPr>
                <w:sz w:val="16"/>
              </w:rPr>
              <w:t>Optional; chunked</w:t>
            </w:r>
          </w:p>
        </w:tc>
        <w:tc>
          <w:tcPr>
            <w:tcW w:type="dxa" w:w="3360"/>
            <w:vAlign w:val="top"/>
          </w:tcPr>
          <w:p>
            <w:r>
              <w:rPr>
                <w:sz w:val="16"/>
              </w:rPr>
              <w:t>Do not require saving audio for transcription and notes.</w:t>
            </w:r>
          </w:p>
        </w:tc>
      </w:tr>
    </w:tbl>
    <w:p>
      <w:pPr>
        <w:pStyle w:val="Heading1"/>
      </w:pPr>
      <w:r>
        <w:t>10. Cross-platform capture architecture</w:t>
      </w:r>
    </w:p>
    <w:p>
      <w:pPr>
        <w:pStyle w:val="Heading2"/>
      </w:pPr>
      <w:r>
        <w:t>10.1 macOS adapter</w:t>
      </w:r>
    </w:p>
    <w:p>
      <w:r>
        <w:t>Use a small Swift framework around ScreenCaptureKit. SCShareableContent provides applications and windows for source discovery; SCContentFilter limits the stream. Apple documents that audio filtering is application-level, including when a single window is selected. The adapter therefore exposes application capture, not truthful per-window audio isolation.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2563EB"/>
            <w:vAlign w:val="center"/>
          </w:tcPr>
          <w:p>
            <w:r>
              <w:rPr>
                <w:b/>
                <w:color w:val="FFFFFF"/>
                <w:sz w:val="17"/>
              </w:rPr>
              <w:t>Concern</w:t>
            </w:r>
          </w:p>
        </w:tc>
        <w:tc>
          <w:tcPr>
            <w:tcW w:type="dxa" w:w="5040"/>
            <w:shd w:fill="2563EB"/>
            <w:vAlign w:val="center"/>
          </w:tcPr>
          <w:p>
            <w:r>
              <w:rPr>
                <w:b/>
                <w:color w:val="FFFFFF"/>
                <w:sz w:val="17"/>
              </w:rPr>
              <w:t>macOS design</w:t>
            </w:r>
          </w:p>
        </w:tc>
      </w:tr>
      <w:tr>
        <w:tc>
          <w:tcPr>
            <w:tcW w:type="dxa" w:w="5040"/>
            <w:vAlign w:val="top"/>
          </w:tcPr>
          <w:p>
            <w:r>
              <w:rPr>
                <w:sz w:val="16"/>
              </w:rPr>
              <w:t>Discovery</w:t>
            </w:r>
          </w:p>
        </w:tc>
        <w:tc>
          <w:tcPr>
            <w:tcW w:type="dxa" w:w="5040"/>
            <w:vAlign w:val="top"/>
          </w:tcPr>
          <w:p>
            <w:r>
              <w:rPr>
                <w:sz w:val="16"/>
              </w:rPr>
              <w:t>SCShareableContent applications; map bundle identifier, PID, name and icon.</w:t>
            </w:r>
          </w:p>
        </w:tc>
      </w:tr>
      <w:tr>
        <w:tc>
          <w:tcPr>
            <w:tcW w:type="dxa" w:w="5040"/>
            <w:vAlign w:val="top"/>
          </w:tcPr>
          <w:p>
            <w:r>
              <w:rPr>
                <w:sz w:val="16"/>
              </w:rPr>
              <w:t>Capture</w:t>
            </w:r>
          </w:p>
        </w:tc>
        <w:tc>
          <w:tcPr>
            <w:tcW w:type="dxa" w:w="5040"/>
            <w:vAlign w:val="top"/>
          </w:tcPr>
          <w:p>
            <w:r>
              <w:rPr>
                <w:sz w:val="16"/>
              </w:rPr>
              <w:t>SCStream configured for audio; discard video output if the API requires a visual filter.</w:t>
            </w:r>
          </w:p>
        </w:tc>
      </w:tr>
      <w:tr>
        <w:tc>
          <w:tcPr>
            <w:tcW w:type="dxa" w:w="5040"/>
            <w:vAlign w:val="top"/>
          </w:tcPr>
          <w:p>
            <w:r>
              <w:rPr>
                <w:sz w:val="16"/>
              </w:rPr>
              <w:t>Permission</w:t>
            </w:r>
          </w:p>
        </w:tc>
        <w:tc>
          <w:tcPr>
            <w:tcW w:type="dxa" w:w="5040"/>
            <w:vAlign w:val="top"/>
          </w:tcPr>
          <w:p>
            <w:r>
              <w:rPr>
                <w:sz w:val="16"/>
              </w:rPr>
              <w:t>Screen &amp; System Audio Recording permission; microphone permission separately.</w:t>
            </w:r>
          </w:p>
        </w:tc>
      </w:tr>
      <w:tr>
        <w:tc>
          <w:tcPr>
            <w:tcW w:type="dxa" w:w="5040"/>
            <w:vAlign w:val="top"/>
          </w:tcPr>
          <w:p>
            <w:r>
              <w:rPr>
                <w:sz w:val="16"/>
              </w:rPr>
              <w:t>Bridge</w:t>
            </w:r>
          </w:p>
        </w:tc>
        <w:tc>
          <w:tcPr>
            <w:tcW w:type="dxa" w:w="5040"/>
            <w:vAlign w:val="top"/>
          </w:tcPr>
          <w:p>
            <w:r>
              <w:rPr>
                <w:sz w:val="16"/>
              </w:rPr>
              <w:t>Swift C ABI or UniFFI-compatible wrapper delivering copied PCM blocks to Rust.</w:t>
            </w:r>
          </w:p>
        </w:tc>
      </w:tr>
      <w:tr>
        <w:tc>
          <w:tcPr>
            <w:tcW w:type="dxa" w:w="5040"/>
            <w:vAlign w:val="top"/>
          </w:tcPr>
          <w:p>
            <w:r>
              <w:rPr>
                <w:sz w:val="16"/>
              </w:rPr>
              <w:t>App exclusion</w:t>
            </w:r>
          </w:p>
        </w:tc>
        <w:tc>
          <w:tcPr>
            <w:tcW w:type="dxa" w:w="5040"/>
            <w:vAlign w:val="top"/>
          </w:tcPr>
          <w:p>
            <w:r>
              <w:rPr>
                <w:sz w:val="16"/>
              </w:rPr>
              <w:t>Exclude this product from captured content where supported to prevent feedback.</w:t>
            </w:r>
          </w:p>
        </w:tc>
      </w:tr>
      <w:tr>
        <w:tc>
          <w:tcPr>
            <w:tcW w:type="dxa" w:w="5040"/>
            <w:vAlign w:val="top"/>
          </w:tcPr>
          <w:p>
            <w:r>
              <w:rPr>
                <w:sz w:val="16"/>
              </w:rPr>
              <w:t>Lifecycle</w:t>
            </w:r>
          </w:p>
        </w:tc>
        <w:tc>
          <w:tcPr>
            <w:tcW w:type="dxa" w:w="5040"/>
            <w:vAlign w:val="top"/>
          </w:tcPr>
          <w:p>
            <w:r>
              <w:rPr>
                <w:sz w:val="16"/>
              </w:rPr>
              <w:t>Handle app termination, display reconfiguration, sleep/wake and permission revocation.</w:t>
            </w:r>
          </w:p>
        </w:tc>
      </w:tr>
      <w:tr>
        <w:tc>
          <w:tcPr>
            <w:tcW w:type="dxa" w:w="5040"/>
            <w:vAlign w:val="top"/>
          </w:tcPr>
          <w:p>
            <w:r>
              <w:rPr>
                <w:sz w:val="16"/>
              </w:rPr>
              <w:t>Minimum support</w:t>
            </w:r>
          </w:p>
        </w:tc>
        <w:tc>
          <w:tcPr>
            <w:tcW w:type="dxa" w:w="5040"/>
            <w:vAlign w:val="top"/>
          </w:tcPr>
          <w:p>
            <w:r>
              <w:rPr>
                <w:sz w:val="16"/>
              </w:rPr>
              <w:t>Set an explicit supported macOS baseline based on ScreenCaptureKit features used.</w:t>
            </w:r>
          </w:p>
        </w:tc>
      </w:tr>
    </w:tbl>
    <w:p>
      <w:pPr>
        <w:pStyle w:val="Heading2"/>
      </w:pPr>
      <w:r>
        <w:t>10.2 Windows adapter</w:t>
      </w:r>
    </w:p>
    <w:p>
      <w:r>
        <w:t>Use WASAPI process-loopback capture through ActivateAudioInterfaceAsync with process-loopback activation parameters. The process tree must be included so Chromium renderer/audio child processes are captured with the selected browser. Standard endpoint loopback remains a fallback diagnostic mode, not the primary application-isolation path.</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2563EB"/>
            <w:vAlign w:val="center"/>
          </w:tcPr>
          <w:p>
            <w:r>
              <w:rPr>
                <w:b/>
                <w:color w:val="FFFFFF"/>
                <w:sz w:val="17"/>
              </w:rPr>
              <w:t>Concern</w:t>
            </w:r>
          </w:p>
        </w:tc>
        <w:tc>
          <w:tcPr>
            <w:tcW w:type="dxa" w:w="5040"/>
            <w:shd w:fill="2563EB"/>
            <w:vAlign w:val="center"/>
          </w:tcPr>
          <w:p>
            <w:r>
              <w:rPr>
                <w:b/>
                <w:color w:val="FFFFFF"/>
                <w:sz w:val="17"/>
              </w:rPr>
              <w:t>Windows design</w:t>
            </w:r>
          </w:p>
        </w:tc>
      </w:tr>
      <w:tr>
        <w:tc>
          <w:tcPr>
            <w:tcW w:type="dxa" w:w="5040"/>
            <w:vAlign w:val="top"/>
          </w:tcPr>
          <w:p>
            <w:r>
              <w:rPr>
                <w:sz w:val="16"/>
              </w:rPr>
              <w:t>Discovery</w:t>
            </w:r>
          </w:p>
        </w:tc>
        <w:tc>
          <w:tcPr>
            <w:tcW w:type="dxa" w:w="5040"/>
            <w:vAlign w:val="top"/>
          </w:tcPr>
          <w:p>
            <w:r>
              <w:rPr>
                <w:sz w:val="16"/>
              </w:rPr>
              <w:t>Top-level windows + process metadata; group child processes under the visible application.</w:t>
            </w:r>
          </w:p>
        </w:tc>
      </w:tr>
      <w:tr>
        <w:tc>
          <w:tcPr>
            <w:tcW w:type="dxa" w:w="5040"/>
            <w:vAlign w:val="top"/>
          </w:tcPr>
          <w:p>
            <w:r>
              <w:rPr>
                <w:sz w:val="16"/>
              </w:rPr>
              <w:t>Capture</w:t>
            </w:r>
          </w:p>
        </w:tc>
        <w:tc>
          <w:tcPr>
            <w:tcW w:type="dxa" w:w="5040"/>
            <w:vAlign w:val="top"/>
          </w:tcPr>
          <w:p>
            <w:r>
              <w:rPr>
                <w:sz w:val="16"/>
              </w:rPr>
              <w:t>Process loopback, include process tree; event-driven audio client.</w:t>
            </w:r>
          </w:p>
        </w:tc>
      </w:tr>
      <w:tr>
        <w:tc>
          <w:tcPr>
            <w:tcW w:type="dxa" w:w="5040"/>
            <w:vAlign w:val="top"/>
          </w:tcPr>
          <w:p>
            <w:r>
              <w:rPr>
                <w:sz w:val="16"/>
              </w:rPr>
              <w:t>Format</w:t>
            </w:r>
          </w:p>
        </w:tc>
        <w:tc>
          <w:tcPr>
            <w:tcW w:type="dxa" w:w="5040"/>
            <w:vAlign w:val="top"/>
          </w:tcPr>
          <w:p>
            <w:r>
              <w:rPr>
                <w:sz w:val="16"/>
              </w:rPr>
              <w:t>Accept engine mix format, convert in Rust.</w:t>
            </w:r>
          </w:p>
        </w:tc>
      </w:tr>
      <w:tr>
        <w:tc>
          <w:tcPr>
            <w:tcW w:type="dxa" w:w="5040"/>
            <w:vAlign w:val="top"/>
          </w:tcPr>
          <w:p>
            <w:r>
              <w:rPr>
                <w:sz w:val="16"/>
              </w:rPr>
              <w:t>Permissions</w:t>
            </w:r>
          </w:p>
        </w:tc>
        <w:tc>
          <w:tcPr>
            <w:tcW w:type="dxa" w:w="5040"/>
            <w:vAlign w:val="top"/>
          </w:tcPr>
          <w:p>
            <w:r>
              <w:rPr>
                <w:sz w:val="16"/>
              </w:rPr>
              <w:t>Normal desktop consent UX; microphone privacy setting can still block mic capture.</w:t>
            </w:r>
          </w:p>
        </w:tc>
      </w:tr>
      <w:tr>
        <w:tc>
          <w:tcPr>
            <w:tcW w:type="dxa" w:w="5040"/>
            <w:vAlign w:val="top"/>
          </w:tcPr>
          <w:p>
            <w:r>
              <w:rPr>
                <w:sz w:val="16"/>
              </w:rPr>
              <w:t>Browser processes</w:t>
            </w:r>
          </w:p>
        </w:tc>
        <w:tc>
          <w:tcPr>
            <w:tcW w:type="dxa" w:w="5040"/>
            <w:vAlign w:val="top"/>
          </w:tcPr>
          <w:p>
            <w:r>
              <w:rPr>
                <w:sz w:val="16"/>
              </w:rPr>
              <w:t>Track process creation/termination and refresh the selected process group.</w:t>
            </w:r>
          </w:p>
        </w:tc>
      </w:tr>
      <w:tr>
        <w:tc>
          <w:tcPr>
            <w:tcW w:type="dxa" w:w="5040"/>
            <w:vAlign w:val="top"/>
          </w:tcPr>
          <w:p>
            <w:r>
              <w:rPr>
                <w:sz w:val="16"/>
              </w:rPr>
              <w:t>Isolation fallback</w:t>
            </w:r>
          </w:p>
        </w:tc>
        <w:tc>
          <w:tcPr>
            <w:tcW w:type="dxa" w:w="5040"/>
            <w:vAlign w:val="top"/>
          </w:tcPr>
          <w:p>
            <w:r>
              <w:rPr>
                <w:sz w:val="16"/>
              </w:rPr>
              <w:t>If process-loopback activation fails, report unsupported; never silently capture all system audio.</w:t>
            </w:r>
          </w:p>
        </w:tc>
      </w:tr>
      <w:tr>
        <w:tc>
          <w:tcPr>
            <w:tcW w:type="dxa" w:w="5040"/>
            <w:vAlign w:val="top"/>
          </w:tcPr>
          <w:p>
            <w:r>
              <w:rPr>
                <w:sz w:val="16"/>
              </w:rPr>
              <w:t>Packaging</w:t>
            </w:r>
          </w:p>
        </w:tc>
        <w:tc>
          <w:tcPr>
            <w:tcW w:type="dxa" w:w="5040"/>
            <w:vAlign w:val="top"/>
          </w:tcPr>
          <w:p>
            <w:r>
              <w:rPr>
                <w:sz w:val="16"/>
              </w:rPr>
              <w:t>MSI/EXE, code signed; optional MSIX/Store path based on distribution strategy.</w:t>
            </w:r>
          </w:p>
        </w:tc>
      </w:tr>
    </w:tbl>
    <w:p>
      <w:pPr>
        <w:pStyle w:val="Heading2"/>
      </w:pPr>
      <w:r>
        <w:t>10.3 Linux adapter</w:t>
      </w:r>
    </w:p>
    <w:p>
      <w:r>
        <w:t>Use PipeWire as the primary media graph and integrate with the active session manager, commonly WirePlumber. Application playback may appear as one or several Stream/Output/Audio nodes. The product must inspect node properties, group streams by application identity, and connect a capture stream to the selected playback nodes. Linux support requires a capability matrix because policies and portals vary across distributions, desktop environments and audio stacks.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2563EB"/>
            <w:vAlign w:val="center"/>
          </w:tcPr>
          <w:p>
            <w:r>
              <w:rPr>
                <w:b/>
                <w:color w:val="FFFFFF"/>
                <w:sz w:val="17"/>
              </w:rPr>
              <w:t>Concern</w:t>
            </w:r>
          </w:p>
        </w:tc>
        <w:tc>
          <w:tcPr>
            <w:tcW w:type="dxa" w:w="5040"/>
            <w:shd w:fill="2563EB"/>
            <w:vAlign w:val="center"/>
          </w:tcPr>
          <w:p>
            <w:r>
              <w:rPr>
                <w:b/>
                <w:color w:val="FFFFFF"/>
                <w:sz w:val="17"/>
              </w:rPr>
              <w:t>Linux design</w:t>
            </w:r>
          </w:p>
        </w:tc>
      </w:tr>
      <w:tr>
        <w:tc>
          <w:tcPr>
            <w:tcW w:type="dxa" w:w="5040"/>
            <w:vAlign w:val="top"/>
          </w:tcPr>
          <w:p>
            <w:r>
              <w:rPr>
                <w:sz w:val="16"/>
              </w:rPr>
              <w:t>Discovery</w:t>
            </w:r>
          </w:p>
        </w:tc>
        <w:tc>
          <w:tcPr>
            <w:tcW w:type="dxa" w:w="5040"/>
            <w:vAlign w:val="top"/>
          </w:tcPr>
          <w:p>
            <w:r>
              <w:rPr>
                <w:sz w:val="16"/>
              </w:rPr>
              <w:t>PipeWire registry; use application.name, application.process.binary, PID and media.role properties.</w:t>
            </w:r>
          </w:p>
        </w:tc>
      </w:tr>
      <w:tr>
        <w:tc>
          <w:tcPr>
            <w:tcW w:type="dxa" w:w="5040"/>
            <w:vAlign w:val="top"/>
          </w:tcPr>
          <w:p>
            <w:r>
              <w:rPr>
                <w:sz w:val="16"/>
              </w:rPr>
              <w:t>Capture</w:t>
            </w:r>
          </w:p>
        </w:tc>
        <w:tc>
          <w:tcPr>
            <w:tcW w:type="dxa" w:w="5040"/>
            <w:vAlign w:val="top"/>
          </w:tcPr>
          <w:p>
            <w:r>
              <w:rPr>
                <w:sz w:val="16"/>
              </w:rPr>
              <w:t>pw_stream or filter node connected to selected playback nodes; monitor dynamic node changes.</w:t>
            </w:r>
          </w:p>
        </w:tc>
      </w:tr>
      <w:tr>
        <w:tc>
          <w:tcPr>
            <w:tcW w:type="dxa" w:w="5040"/>
            <w:vAlign w:val="top"/>
          </w:tcPr>
          <w:p>
            <w:r>
              <w:rPr>
                <w:sz w:val="16"/>
              </w:rPr>
              <w:t>Session manager</w:t>
            </w:r>
          </w:p>
        </w:tc>
        <w:tc>
          <w:tcPr>
            <w:tcW w:type="dxa" w:w="5040"/>
            <w:vAlign w:val="top"/>
          </w:tcPr>
          <w:p>
            <w:r>
              <w:rPr>
                <w:sz w:val="16"/>
              </w:rPr>
              <w:t>Cooperate with WirePlumber policy; avoid permanent graph mutation.</w:t>
            </w:r>
          </w:p>
        </w:tc>
      </w:tr>
      <w:tr>
        <w:tc>
          <w:tcPr>
            <w:tcW w:type="dxa" w:w="5040"/>
            <w:vAlign w:val="top"/>
          </w:tcPr>
          <w:p>
            <w:r>
              <w:rPr>
                <w:sz w:val="16"/>
              </w:rPr>
              <w:t>Fallback</w:t>
            </w:r>
          </w:p>
        </w:tc>
        <w:tc>
          <w:tcPr>
            <w:tcW w:type="dxa" w:w="5040"/>
            <w:vAlign w:val="top"/>
          </w:tcPr>
          <w:p>
            <w:r>
              <w:rPr>
                <w:sz w:val="16"/>
              </w:rPr>
              <w:t>PulseAudio compatibility only where PipeWire is unavailable; mark feature limitations.</w:t>
            </w:r>
          </w:p>
        </w:tc>
      </w:tr>
      <w:tr>
        <w:tc>
          <w:tcPr>
            <w:tcW w:type="dxa" w:w="5040"/>
            <w:vAlign w:val="top"/>
          </w:tcPr>
          <w:p>
            <w:r>
              <w:rPr>
                <w:sz w:val="16"/>
              </w:rPr>
              <w:t>Wayland</w:t>
            </w:r>
          </w:p>
        </w:tc>
        <w:tc>
          <w:tcPr>
            <w:tcW w:type="dxa" w:w="5040"/>
            <w:vAlign w:val="top"/>
          </w:tcPr>
          <w:p>
            <w:r>
              <w:rPr>
                <w:sz w:val="16"/>
              </w:rPr>
              <w:t>Use portals where required for permission-mediated capture; do not depend on X11.</w:t>
            </w:r>
          </w:p>
        </w:tc>
      </w:tr>
      <w:tr>
        <w:tc>
          <w:tcPr>
            <w:tcW w:type="dxa" w:w="5040"/>
            <w:vAlign w:val="top"/>
          </w:tcPr>
          <w:p>
            <w:r>
              <w:rPr>
                <w:sz w:val="16"/>
              </w:rPr>
              <w:t>Packaging</w:t>
            </w:r>
          </w:p>
        </w:tc>
        <w:tc>
          <w:tcPr>
            <w:tcW w:type="dxa" w:w="5040"/>
            <w:vAlign w:val="top"/>
          </w:tcPr>
          <w:p>
            <w:r>
              <w:rPr>
                <w:sz w:val="16"/>
              </w:rPr>
              <w:t>AppImage plus Flatpak; deb/rpm optional. Flatpak needs explicit portal and filesystem design.</w:t>
            </w:r>
          </w:p>
        </w:tc>
      </w:tr>
      <w:tr>
        <w:tc>
          <w:tcPr>
            <w:tcW w:type="dxa" w:w="5040"/>
            <w:vAlign w:val="top"/>
          </w:tcPr>
          <w:p>
            <w:r>
              <w:rPr>
                <w:sz w:val="16"/>
              </w:rPr>
              <w:t>Support tiers</w:t>
            </w:r>
          </w:p>
        </w:tc>
        <w:tc>
          <w:tcPr>
            <w:tcW w:type="dxa" w:w="5040"/>
            <w:vAlign w:val="top"/>
          </w:tcPr>
          <w:p>
            <w:r>
              <w:rPr>
                <w:sz w:val="16"/>
              </w:rPr>
              <w:t>Certified distros/DEs plus best-effort mode elsewhere.</w:t>
            </w:r>
          </w:p>
        </w:tc>
      </w:tr>
    </w:tbl>
    <w:p>
      <w:pPr>
        <w:pStyle w:val="Heading1"/>
      </w:pPr>
      <w:r>
        <w:t>11. Unified platform contract</w:t>
      </w:r>
    </w:p>
    <w:p>
      <w:pPr>
        <w:pStyle w:val="CodeBlock"/>
      </w:pPr>
      <w:r>
        <w:t>trait ApplicationCaptureAdapter {</w:t>
      </w:r>
    </w:p>
    <w:p>
      <w:pPr>
        <w:pStyle w:val="CodeBlock"/>
      </w:pPr>
      <w:r>
        <w:t xml:space="preserve">  fn capabilities(&amp;self) -&gt; CaptureCapabilities;</w:t>
      </w:r>
    </w:p>
    <w:p>
      <w:pPr>
        <w:pStyle w:val="CodeBlock"/>
      </w:pPr>
      <w:r>
        <w:t xml:space="preserve">  async fn list_applications(&amp;self) -&gt; Result&lt;Vec&lt;CapturableApp&gt;&gt;;</w:t>
      </w:r>
    </w:p>
    <w:p>
      <w:pPr>
        <w:pStyle w:val="CodeBlock"/>
      </w:pPr>
      <w:r>
        <w:t xml:space="preserve">  async fn request_permissions(&amp;self) -&gt; PermissionReport;</w:t>
      </w:r>
    </w:p>
    <w:p>
      <w:pPr>
        <w:pStyle w:val="CodeBlock"/>
      </w:pPr>
      <w:r>
        <w:t xml:space="preserve">  async fn start(&amp;self, app: PlatformAppId, cfg: CaptureConfig)</w:t>
      </w:r>
    </w:p>
    <w:p>
      <w:pPr>
        <w:pStyle w:val="CodeBlock"/>
      </w:pPr>
      <w:r>
        <w:t xml:space="preserve">      -&gt; Result&lt;CaptureHandle&gt;;</w:t>
      </w:r>
    </w:p>
    <w:p>
      <w:pPr>
        <w:pStyle w:val="CodeBlock"/>
      </w:pPr>
      <w:r>
        <w:t xml:space="preserve">  async fn stop(&amp;self, handle: CaptureHandle) -&gt; Result&lt;()&gt;;</w:t>
      </w:r>
    </w:p>
    <w:p>
      <w:pPr>
        <w:pStyle w:val="CodeBlock"/>
      </w:pPr>
      <w:r>
        <w:t>}</w:t>
      </w:r>
    </w:p>
    <w:p>
      <w:pPr>
        <w:pStyle w:val="CodeBlock"/>
      </w:pPr>
    </w:p>
    <w:p>
      <w:pPr>
        <w:pStyle w:val="CodeBlock"/>
      </w:pPr>
      <w:r>
        <w:t>CaptureCapabilities {</w:t>
      </w:r>
    </w:p>
    <w:p>
      <w:pPr>
        <w:pStyle w:val="CodeBlock"/>
      </w:pPr>
      <w:r>
        <w:t xml:space="preserve">  application_audio: bool,</w:t>
      </w:r>
    </w:p>
    <w:p>
      <w:pPr>
        <w:pStyle w:val="CodeBlock"/>
      </w:pPr>
      <w:r>
        <w:t xml:space="preserve">  process_tree: bool,</w:t>
      </w:r>
    </w:p>
    <w:p>
      <w:pPr>
        <w:pStyle w:val="CodeBlock"/>
      </w:pPr>
      <w:r>
        <w:t xml:space="preserve">  dynamic_child_streams: bool,</w:t>
      </w:r>
    </w:p>
    <w:p>
      <w:pPr>
        <w:pStyle w:val="CodeBlock"/>
      </w:pPr>
      <w:r>
        <w:t xml:space="preserve">  excludes_self: bool,</w:t>
      </w:r>
    </w:p>
    <w:p>
      <w:pPr>
        <w:pStyle w:val="CodeBlock"/>
      </w:pPr>
      <w:r>
        <w:t xml:space="preserve">  permission_kind: PermissionKind,</w:t>
      </w:r>
    </w:p>
    <w:p>
      <w:pPr>
        <w:pStyle w:val="CodeBlock"/>
      </w:pPr>
      <w:r>
        <w:t>}</w:t>
      </w:r>
    </w:p>
    <w:p>
      <w:pPr>
        <w:pStyle w:val="Heading1"/>
      </w:pPr>
      <w:r>
        <w:t>12. Speech recognition architecture</w:t>
      </w:r>
    </w:p>
    <w:p>
      <w:r>
        <w:t>Use whisper.cpp as the initial cross-platform speech engine because it provides a native C/C++ implementation and established acceleration paths. Wrap it behind a Rust trait so additional engines can be introduced without changing session semantics.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563EB"/>
            <w:vAlign w:val="center"/>
          </w:tcPr>
          <w:p>
            <w:r>
              <w:rPr>
                <w:b/>
                <w:color w:val="FFFFFF"/>
                <w:sz w:val="17"/>
              </w:rPr>
              <w:t>Profile</w:t>
            </w:r>
          </w:p>
        </w:tc>
        <w:tc>
          <w:tcPr>
            <w:tcW w:type="dxa" w:w="3360"/>
            <w:shd w:fill="2563EB"/>
            <w:vAlign w:val="center"/>
          </w:tcPr>
          <w:p>
            <w:r>
              <w:rPr>
                <w:b/>
                <w:color w:val="FFFFFF"/>
                <w:sz w:val="17"/>
              </w:rPr>
              <w:t>Model recommendation</w:t>
            </w:r>
          </w:p>
        </w:tc>
        <w:tc>
          <w:tcPr>
            <w:tcW w:type="dxa" w:w="3360"/>
            <w:shd w:fill="2563EB"/>
            <w:vAlign w:val="center"/>
          </w:tcPr>
          <w:p>
            <w:r>
              <w:rPr>
                <w:b/>
                <w:color w:val="FFFFFF"/>
                <w:sz w:val="17"/>
              </w:rPr>
              <w:t>Use</w:t>
            </w:r>
          </w:p>
        </w:tc>
      </w:tr>
      <w:tr>
        <w:tc>
          <w:tcPr>
            <w:tcW w:type="dxa" w:w="3360"/>
            <w:vAlign w:val="top"/>
          </w:tcPr>
          <w:p>
            <w:r>
              <w:rPr>
                <w:sz w:val="16"/>
              </w:rPr>
              <w:t>Fast</w:t>
            </w:r>
          </w:p>
        </w:tc>
        <w:tc>
          <w:tcPr>
            <w:tcW w:type="dxa" w:w="3360"/>
            <w:vAlign w:val="top"/>
          </w:tcPr>
          <w:p>
            <w:r>
              <w:rPr>
                <w:sz w:val="16"/>
              </w:rPr>
              <w:t>Whisper base or small, quantized where validated</w:t>
            </w:r>
          </w:p>
        </w:tc>
        <w:tc>
          <w:tcPr>
            <w:tcW w:type="dxa" w:w="3360"/>
            <w:vAlign w:val="top"/>
          </w:tcPr>
          <w:p>
            <w:r>
              <w:rPr>
                <w:sz w:val="16"/>
              </w:rPr>
              <w:t>Live transcript on lower-power devices.</w:t>
            </w:r>
          </w:p>
        </w:tc>
      </w:tr>
      <w:tr>
        <w:tc>
          <w:tcPr>
            <w:tcW w:type="dxa" w:w="3360"/>
            <w:vAlign w:val="top"/>
          </w:tcPr>
          <w:p>
            <w:r>
              <w:rPr>
                <w:sz w:val="16"/>
              </w:rPr>
              <w:t>Balanced default</w:t>
            </w:r>
          </w:p>
        </w:tc>
        <w:tc>
          <w:tcPr>
            <w:tcW w:type="dxa" w:w="3360"/>
            <w:vAlign w:val="top"/>
          </w:tcPr>
          <w:p>
            <w:r>
              <w:rPr>
                <w:sz w:val="16"/>
              </w:rPr>
              <w:t>Whisper small</w:t>
            </w:r>
          </w:p>
        </w:tc>
        <w:tc>
          <w:tcPr>
            <w:tcW w:type="dxa" w:w="3360"/>
            <w:vAlign w:val="top"/>
          </w:tcPr>
          <w:p>
            <w:r>
              <w:rPr>
                <w:sz w:val="16"/>
              </w:rPr>
              <w:t>Default live and final pass on modern laptops.</w:t>
            </w:r>
          </w:p>
        </w:tc>
      </w:tr>
      <w:tr>
        <w:tc>
          <w:tcPr>
            <w:tcW w:type="dxa" w:w="3360"/>
            <w:vAlign w:val="top"/>
          </w:tcPr>
          <w:p>
            <w:r>
              <w:rPr>
                <w:sz w:val="16"/>
              </w:rPr>
              <w:t>Quality</w:t>
            </w:r>
          </w:p>
        </w:tc>
        <w:tc>
          <w:tcPr>
            <w:tcW w:type="dxa" w:w="3360"/>
            <w:vAlign w:val="top"/>
          </w:tcPr>
          <w:p>
            <w:r>
              <w:rPr>
                <w:sz w:val="16"/>
              </w:rPr>
              <w:t>Whisper medium</w:t>
            </w:r>
          </w:p>
        </w:tc>
        <w:tc>
          <w:tcPr>
            <w:tcW w:type="dxa" w:w="3360"/>
            <w:vAlign w:val="top"/>
          </w:tcPr>
          <w:p>
            <w:r>
              <w:rPr>
                <w:sz w:val="16"/>
              </w:rPr>
              <w:t>Post-meeting finalization on 16–32 GB systems.</w:t>
            </w:r>
          </w:p>
        </w:tc>
      </w:tr>
      <w:tr>
        <w:tc>
          <w:tcPr>
            <w:tcW w:type="dxa" w:w="3360"/>
            <w:vAlign w:val="top"/>
          </w:tcPr>
          <w:p>
            <w:r>
              <w:rPr>
                <w:sz w:val="16"/>
              </w:rPr>
              <w:t>English-focused optional</w:t>
            </w:r>
          </w:p>
        </w:tc>
        <w:tc>
          <w:tcPr>
            <w:tcW w:type="dxa" w:w="3360"/>
            <w:vAlign w:val="top"/>
          </w:tcPr>
          <w:p>
            <w:r>
              <w:rPr>
                <w:sz w:val="16"/>
              </w:rPr>
              <w:t>Whisper medium.en or suitable English model</w:t>
            </w:r>
          </w:p>
        </w:tc>
        <w:tc>
          <w:tcPr>
            <w:tcW w:type="dxa" w:w="3360"/>
            <w:vAlign w:val="top"/>
          </w:tcPr>
          <w:p>
            <w:r>
              <w:rPr>
                <w:sz w:val="16"/>
              </w:rPr>
              <w:t>Higher English-only throughput/quality where applicable.</w:t>
            </w:r>
          </w:p>
        </w:tc>
      </w:tr>
      <w:tr>
        <w:tc>
          <w:tcPr>
            <w:tcW w:type="dxa" w:w="3360"/>
            <w:vAlign w:val="top"/>
          </w:tcPr>
          <w:p>
            <w:r>
              <w:rPr>
                <w:sz w:val="16"/>
              </w:rPr>
              <w:t>Future engine</w:t>
            </w:r>
          </w:p>
        </w:tc>
        <w:tc>
          <w:tcPr>
            <w:tcW w:type="dxa" w:w="3360"/>
            <w:vAlign w:val="top"/>
          </w:tcPr>
          <w:p>
            <w:r>
              <w:rPr>
                <w:sz w:val="16"/>
              </w:rPr>
              <w:t>Parakeet/Moonshine class adapter after benchmarking</w:t>
            </w:r>
          </w:p>
        </w:tc>
        <w:tc>
          <w:tcPr>
            <w:tcW w:type="dxa" w:w="3360"/>
            <w:vAlign w:val="top"/>
          </w:tcPr>
          <w:p>
            <w:r>
              <w:rPr>
                <w:sz w:val="16"/>
              </w:rPr>
              <w:t>Do not make them architectural dependencies initially.</w:t>
            </w:r>
          </w:p>
        </w:tc>
      </w:tr>
    </w:tbl>
    <w:p>
      <w:r>
        <w:t>Model selection must be benchmark-driven using real meeting audio, accents, crosstalk, application codecs and noisy microphones. The product should run a short local calibration benchmark after installation and recommend a profile, while allowing manual override.</w:t>
      </w:r>
    </w:p>
    <w:p>
      <w:pPr>
        <w:pStyle w:val="Heading1"/>
      </w:pPr>
      <w:r>
        <w:t>13. LLM and structured generation</w:t>
      </w:r>
    </w:p>
    <w:p>
      <w:r>
        <w:t>The language model receives finalized transcript chunks and compact rolling state, not raw audio. For meeting-note generation, reliability of JSON/schema adherence and multilingual instruction following matters more than open-ended chat benchmarks.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563EB"/>
            <w:vAlign w:val="center"/>
          </w:tcPr>
          <w:p>
            <w:r>
              <w:rPr>
                <w:b/>
                <w:color w:val="FFFFFF"/>
                <w:sz w:val="17"/>
              </w:rPr>
              <w:t>Hardware tier</w:t>
            </w:r>
          </w:p>
        </w:tc>
        <w:tc>
          <w:tcPr>
            <w:tcW w:type="dxa" w:w="3360"/>
            <w:shd w:fill="2563EB"/>
            <w:vAlign w:val="center"/>
          </w:tcPr>
          <w:p>
            <w:r>
              <w:rPr>
                <w:b/>
                <w:color w:val="FFFFFF"/>
                <w:sz w:val="17"/>
              </w:rPr>
              <w:t>Default model class</w:t>
            </w:r>
          </w:p>
        </w:tc>
        <w:tc>
          <w:tcPr>
            <w:tcW w:type="dxa" w:w="3360"/>
            <w:shd w:fill="2563EB"/>
            <w:vAlign w:val="center"/>
          </w:tcPr>
          <w:p>
            <w:r>
              <w:rPr>
                <w:b/>
                <w:color w:val="FFFFFF"/>
                <w:sz w:val="17"/>
              </w:rPr>
              <w:t>Recommendation</w:t>
            </w:r>
          </w:p>
        </w:tc>
      </w:tr>
      <w:tr>
        <w:tc>
          <w:tcPr>
            <w:tcW w:type="dxa" w:w="3360"/>
            <w:vAlign w:val="top"/>
          </w:tcPr>
          <w:p>
            <w:r>
              <w:rPr>
                <w:sz w:val="16"/>
              </w:rPr>
              <w:t>8 GB memory</w:t>
            </w:r>
          </w:p>
        </w:tc>
        <w:tc>
          <w:tcPr>
            <w:tcW w:type="dxa" w:w="3360"/>
            <w:vAlign w:val="top"/>
          </w:tcPr>
          <w:p>
            <w:r>
              <w:rPr>
                <w:sz w:val="16"/>
              </w:rPr>
              <w:t>3B–4B instruct, Q4</w:t>
            </w:r>
          </w:p>
        </w:tc>
        <w:tc>
          <w:tcPr>
            <w:tcW w:type="dxa" w:w="3360"/>
            <w:vAlign w:val="top"/>
          </w:tcPr>
          <w:p>
            <w:r>
              <w:rPr>
                <w:sz w:val="16"/>
              </w:rPr>
              <w:t>Phi-4-mini-class or Qwen-class compact model; limited long-session chat.</w:t>
            </w:r>
          </w:p>
        </w:tc>
      </w:tr>
      <w:tr>
        <w:tc>
          <w:tcPr>
            <w:tcW w:type="dxa" w:w="3360"/>
            <w:vAlign w:val="top"/>
          </w:tcPr>
          <w:p>
            <w:r>
              <w:rPr>
                <w:sz w:val="16"/>
              </w:rPr>
              <w:t>16 GB memory</w:t>
            </w:r>
          </w:p>
        </w:tc>
        <w:tc>
          <w:tcPr>
            <w:tcW w:type="dxa" w:w="3360"/>
            <w:vAlign w:val="top"/>
          </w:tcPr>
          <w:p>
            <w:r>
              <w:rPr>
                <w:sz w:val="16"/>
              </w:rPr>
              <w:t>7B–8B instruct, Q4/Q5</w:t>
            </w:r>
          </w:p>
        </w:tc>
        <w:tc>
          <w:tcPr>
            <w:tcW w:type="dxa" w:w="3360"/>
            <w:vAlign w:val="top"/>
          </w:tcPr>
          <w:p>
            <w:r>
              <w:rPr>
                <w:sz w:val="16"/>
              </w:rPr>
              <w:t>Qwen3 8B-class default for summaries and structured extraction.</w:t>
            </w:r>
          </w:p>
        </w:tc>
      </w:tr>
      <w:tr>
        <w:tc>
          <w:tcPr>
            <w:tcW w:type="dxa" w:w="3360"/>
            <w:vAlign w:val="top"/>
          </w:tcPr>
          <w:p>
            <w:r>
              <w:rPr>
                <w:sz w:val="16"/>
              </w:rPr>
              <w:t>24–32 GB memory</w:t>
            </w:r>
          </w:p>
        </w:tc>
        <w:tc>
          <w:tcPr>
            <w:tcW w:type="dxa" w:w="3360"/>
            <w:vAlign w:val="top"/>
          </w:tcPr>
          <w:p>
            <w:r>
              <w:rPr>
                <w:sz w:val="16"/>
              </w:rPr>
              <w:t>12B–14B instruct, Q4/Q5</w:t>
            </w:r>
          </w:p>
        </w:tc>
        <w:tc>
          <w:tcPr>
            <w:tcW w:type="dxa" w:w="3360"/>
            <w:vAlign w:val="top"/>
          </w:tcPr>
          <w:p>
            <w:r>
              <w:rPr>
                <w:sz w:val="16"/>
              </w:rPr>
              <w:t>Optional quality pack for difficult meetings and richer transformations.</w:t>
            </w:r>
          </w:p>
        </w:tc>
      </w:tr>
      <w:tr>
        <w:tc>
          <w:tcPr>
            <w:tcW w:type="dxa" w:w="3360"/>
            <w:vAlign w:val="top"/>
          </w:tcPr>
          <w:p>
            <w:r>
              <w:rPr>
                <w:sz w:val="16"/>
              </w:rPr>
              <w:t>GPU constrained</w:t>
            </w:r>
          </w:p>
        </w:tc>
        <w:tc>
          <w:tcPr>
            <w:tcW w:type="dxa" w:w="3360"/>
            <w:vAlign w:val="top"/>
          </w:tcPr>
          <w:p>
            <w:r>
              <w:rPr>
                <w:sz w:val="16"/>
              </w:rPr>
              <w:t>CPU/GPU split via llama.cpp</w:t>
            </w:r>
          </w:p>
        </w:tc>
        <w:tc>
          <w:tcPr>
            <w:tcW w:type="dxa" w:w="3360"/>
            <w:vAlign w:val="top"/>
          </w:tcPr>
          <w:p>
            <w:r>
              <w:rPr>
                <w:sz w:val="16"/>
              </w:rPr>
              <w:t>Respect thermal and memory budgets; serialize STT and LLM when needed.</w:t>
            </w:r>
          </w:p>
        </w:tc>
      </w:tr>
    </w:tbl>
    <w:tbl>
      <w:tblPr>
        <w:tblStyle w:val="TableGrid"/>
        <w:tblW w:type="auto" w:w="0"/>
        <w:tblLook w:firstColumn="1" w:firstRow="1" w:lastColumn="0" w:lastRow="0" w:noHBand="0" w:noVBand="1" w:val="04A0"/>
      </w:tblPr>
      <w:tblGrid>
        <w:gridCol w:w="10080"/>
      </w:tblGrid>
      <w:tr>
        <w:tc>
          <w:tcPr>
            <w:tcW w:type="dxa" w:w="10080"/>
            <w:shd w:fill="EFF6FF"/>
          </w:tcPr>
          <w:p>
            <w:r>
              <w:rPr>
                <w:b/>
                <w:color w:val="2563EB"/>
              </w:rPr>
              <w:t xml:space="preserve">Model policy — </w:t>
            </w:r>
            <w:r>
              <w:t>Do not bundle a single enormous model. Ship a model catalog with signed manifests and hardware-aware recommendations. The application remains functional with transcript-only mode when no LLM is installed.</w:t>
            </w:r>
          </w:p>
        </w:tc>
      </w:tr>
    </w:tbl>
    <w:p>
      <w:pPr>
        <w:pStyle w:val="Heading1"/>
      </w:pPr>
      <w:r>
        <w:t>14. Inference runtime and scheduling</w:t>
      </w:r>
    </w:p>
    <w:p>
      <w:pPr>
        <w:pStyle w:val="ListBullet"/>
      </w:pPr>
      <w:r>
        <w:t>Use llama.cpp/GGUF as the common baseline runtime for macOS, Windows and Linux.</w:t>
      </w:r>
    </w:p>
    <w:p>
      <w:pPr>
        <w:pStyle w:val="ListBullet"/>
      </w:pPr>
      <w:r>
        <w:t>Keep an engine abstraction for native MLX or platform accelerators, but avoid creating feature divergence in the first production release.</w:t>
      </w:r>
    </w:p>
    <w:p>
      <w:pPr>
        <w:pStyle w:val="ListBullet"/>
      </w:pPr>
      <w:r>
        <w:t>Use one resident LLM context by default and a bounded request queue.</w:t>
      </w:r>
    </w:p>
    <w:p>
      <w:pPr>
        <w:pStyle w:val="ListBullet"/>
      </w:pPr>
      <w:r>
        <w:t>Pause or reduce LLM work when the audio queue, transcription latency or thermal pressure exceeds thresholds.</w:t>
      </w:r>
    </w:p>
    <w:p>
      <w:pPr>
        <w:pStyle w:val="ListBullet"/>
      </w:pPr>
      <w:r>
        <w:t>Checkpoint rolling meeting state every few minutes so final generation does not require feeding an entire multi-hour transcript at once.</w:t>
      </w:r>
    </w:p>
    <w:p>
      <w:pPr>
        <w:pStyle w:val="ListBullet"/>
      </w:pPr>
      <w:r>
        <w:t>Validate every structured result against a versioned schema; repair once, then fall back to deterministic extraction or plain text.</w:t>
      </w:r>
    </w:p>
    <w:p>
      <w:pPr>
        <w:pStyle w:val="Heading1"/>
      </w:pPr>
      <w:r>
        <w:t>15. Data and storage architecture</w:t>
      </w:r>
    </w:p>
    <w:p>
      <w:pPr>
        <w:pStyle w:val="CodeBlock"/>
      </w:pPr>
      <w:r>
        <w:t>AppData/</w:t>
      </w:r>
    </w:p>
    <w:p>
      <w:pPr>
        <w:pStyle w:val="CodeBlock"/>
      </w:pPr>
      <w:r>
        <w:t xml:space="preserve">  database/app.db</w:t>
      </w:r>
    </w:p>
    <w:p>
      <w:pPr>
        <w:pStyle w:val="CodeBlock"/>
      </w:pPr>
      <w:r>
        <w:t xml:space="preserve">  sessions/&lt;session-id&gt;/</w:t>
      </w:r>
    </w:p>
    <w:p>
      <w:pPr>
        <w:pStyle w:val="CodeBlock"/>
      </w:pPr>
      <w:r>
        <w:t xml:space="preserve">    journal.ndjson</w:t>
      </w:r>
    </w:p>
    <w:p>
      <w:pPr>
        <w:pStyle w:val="CodeBlock"/>
      </w:pPr>
      <w:r>
        <w:t xml:space="preserve">    audio/track-mic-0001.flac.enc       (optional)</w:t>
      </w:r>
    </w:p>
    <w:p>
      <w:pPr>
        <w:pStyle w:val="CodeBlock"/>
      </w:pPr>
      <w:r>
        <w:t xml:space="preserve">    audio/track-app-0001.flac.enc       (optional)</w:t>
      </w:r>
    </w:p>
    <w:p>
      <w:pPr>
        <w:pStyle w:val="CodeBlock"/>
      </w:pPr>
      <w:r>
        <w:t xml:space="preserve">    transcript.json</w:t>
      </w:r>
    </w:p>
    <w:p>
      <w:pPr>
        <w:pStyle w:val="CodeBlock"/>
      </w:pPr>
      <w:r>
        <w:t xml:space="preserve">    artifacts/</w:t>
      </w:r>
    </w:p>
    <w:p>
      <w:pPr>
        <w:pStyle w:val="CodeBlock"/>
      </w:pPr>
      <w:r>
        <w:t xml:space="preserve">  models/&lt;engine&gt;/&lt;model-id&gt;/&lt;version&gt;/</w:t>
      </w:r>
    </w:p>
    <w:p>
      <w:pPr>
        <w:pStyle w:val="CodeBlock"/>
      </w:pPr>
      <w:r>
        <w:t xml:space="preserve">  exports/</w:t>
      </w:r>
    </w:p>
    <w:p>
      <w:pPr>
        <w:pStyle w:val="CodeBlock"/>
      </w:pPr>
      <w:r>
        <w:t xml:space="preserve">  logs/                                  (rotated, privacy-filtered)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563EB"/>
            <w:vAlign w:val="center"/>
          </w:tcPr>
          <w:p>
            <w:r>
              <w:rPr>
                <w:b/>
                <w:color w:val="FFFFFF"/>
                <w:sz w:val="17"/>
              </w:rPr>
              <w:t>Store</w:t>
            </w:r>
          </w:p>
        </w:tc>
        <w:tc>
          <w:tcPr>
            <w:tcW w:type="dxa" w:w="3360"/>
            <w:shd w:fill="2563EB"/>
            <w:vAlign w:val="center"/>
          </w:tcPr>
          <w:p>
            <w:r>
              <w:rPr>
                <w:b/>
                <w:color w:val="FFFFFF"/>
                <w:sz w:val="17"/>
              </w:rPr>
              <w:t>Purpose</w:t>
            </w:r>
          </w:p>
        </w:tc>
        <w:tc>
          <w:tcPr>
            <w:tcW w:type="dxa" w:w="3360"/>
            <w:shd w:fill="2563EB"/>
            <w:vAlign w:val="center"/>
          </w:tcPr>
          <w:p>
            <w:r>
              <w:rPr>
                <w:b/>
                <w:color w:val="FFFFFF"/>
                <w:sz w:val="17"/>
              </w:rPr>
              <w:t>Protection</w:t>
            </w:r>
          </w:p>
        </w:tc>
      </w:tr>
      <w:tr>
        <w:tc>
          <w:tcPr>
            <w:tcW w:type="dxa" w:w="3360"/>
            <w:vAlign w:val="top"/>
          </w:tcPr>
          <w:p>
            <w:r>
              <w:rPr>
                <w:sz w:val="16"/>
              </w:rPr>
              <w:t>SQLite</w:t>
            </w:r>
          </w:p>
        </w:tc>
        <w:tc>
          <w:tcPr>
            <w:tcW w:type="dxa" w:w="3360"/>
            <w:vAlign w:val="top"/>
          </w:tcPr>
          <w:p>
            <w:r>
              <w:rPr>
                <w:sz w:val="16"/>
              </w:rPr>
              <w:t>Sessions, segments, artifacts, FTS, settings, registry</w:t>
            </w:r>
          </w:p>
        </w:tc>
        <w:tc>
          <w:tcPr>
            <w:tcW w:type="dxa" w:w="3360"/>
            <w:vAlign w:val="top"/>
          </w:tcPr>
          <w:p>
            <w:r>
              <w:rPr>
                <w:sz w:val="16"/>
              </w:rPr>
              <w:t>SQLCipher or OS-protected database key where feasible.</w:t>
            </w:r>
          </w:p>
        </w:tc>
      </w:tr>
      <w:tr>
        <w:tc>
          <w:tcPr>
            <w:tcW w:type="dxa" w:w="3360"/>
            <w:vAlign w:val="top"/>
          </w:tcPr>
          <w:p>
            <w:r>
              <w:rPr>
                <w:sz w:val="16"/>
              </w:rPr>
              <w:t>Session journal</w:t>
            </w:r>
          </w:p>
        </w:tc>
        <w:tc>
          <w:tcPr>
            <w:tcW w:type="dxa" w:w="3360"/>
            <w:vAlign w:val="top"/>
          </w:tcPr>
          <w:p>
            <w:r>
              <w:rPr>
                <w:sz w:val="16"/>
              </w:rPr>
              <w:t>Append-only recovery source during recording</w:t>
            </w:r>
          </w:p>
        </w:tc>
        <w:tc>
          <w:tcPr>
            <w:tcW w:type="dxa" w:w="3360"/>
            <w:vAlign w:val="top"/>
          </w:tcPr>
          <w:p>
            <w:r>
              <w:rPr>
                <w:sz w:val="16"/>
              </w:rPr>
              <w:t>Atomic append + fsync checkpoints.</w:t>
            </w:r>
          </w:p>
        </w:tc>
      </w:tr>
      <w:tr>
        <w:tc>
          <w:tcPr>
            <w:tcW w:type="dxa" w:w="3360"/>
            <w:vAlign w:val="top"/>
          </w:tcPr>
          <w:p>
            <w:r>
              <w:rPr>
                <w:sz w:val="16"/>
              </w:rPr>
              <w:t>Audio chunks</w:t>
            </w:r>
          </w:p>
        </w:tc>
        <w:tc>
          <w:tcPr>
            <w:tcW w:type="dxa" w:w="3360"/>
            <w:vAlign w:val="top"/>
          </w:tcPr>
          <w:p>
            <w:r>
              <w:rPr>
                <w:sz w:val="16"/>
              </w:rPr>
              <w:t>Optional source material and reprocessing</w:t>
            </w:r>
          </w:p>
        </w:tc>
        <w:tc>
          <w:tcPr>
            <w:tcW w:type="dxa" w:w="3360"/>
            <w:vAlign w:val="top"/>
          </w:tcPr>
          <w:p>
            <w:r>
              <w:rPr>
                <w:sz w:val="16"/>
              </w:rPr>
              <w:t>Chunked, encrypted, retention policy.</w:t>
            </w:r>
          </w:p>
        </w:tc>
      </w:tr>
      <w:tr>
        <w:tc>
          <w:tcPr>
            <w:tcW w:type="dxa" w:w="3360"/>
            <w:vAlign w:val="top"/>
          </w:tcPr>
          <w:p>
            <w:r>
              <w:rPr>
                <w:sz w:val="16"/>
              </w:rPr>
              <w:t>Models</w:t>
            </w:r>
          </w:p>
        </w:tc>
        <w:tc>
          <w:tcPr>
            <w:tcW w:type="dxa" w:w="3360"/>
            <w:vAlign w:val="top"/>
          </w:tcPr>
          <w:p>
            <w:r>
              <w:rPr>
                <w:sz w:val="16"/>
              </w:rPr>
              <w:t>Large immutable inference files</w:t>
            </w:r>
          </w:p>
        </w:tc>
        <w:tc>
          <w:tcPr>
            <w:tcW w:type="dxa" w:w="3360"/>
            <w:vAlign w:val="top"/>
          </w:tcPr>
          <w:p>
            <w:r>
              <w:rPr>
                <w:sz w:val="16"/>
              </w:rPr>
              <w:t>Checksum and signed manifest; not encrypted by default.</w:t>
            </w:r>
          </w:p>
        </w:tc>
      </w:tr>
      <w:tr>
        <w:tc>
          <w:tcPr>
            <w:tcW w:type="dxa" w:w="3360"/>
            <w:vAlign w:val="top"/>
          </w:tcPr>
          <w:p>
            <w:r>
              <w:rPr>
                <w:sz w:val="16"/>
              </w:rPr>
              <w:t>Secrets</w:t>
            </w:r>
          </w:p>
        </w:tc>
        <w:tc>
          <w:tcPr>
            <w:tcW w:type="dxa" w:w="3360"/>
            <w:vAlign w:val="top"/>
          </w:tcPr>
          <w:p>
            <w:r>
              <w:rPr>
                <w:sz w:val="16"/>
              </w:rPr>
              <w:t>Database key and local integration secrets</w:t>
            </w:r>
          </w:p>
        </w:tc>
        <w:tc>
          <w:tcPr>
            <w:tcW w:type="dxa" w:w="3360"/>
            <w:vAlign w:val="top"/>
          </w:tcPr>
          <w:p>
            <w:r>
              <w:rPr>
                <w:sz w:val="16"/>
              </w:rPr>
              <w:t>Keychain / Credential Manager / Secret Service.</w:t>
            </w:r>
          </w:p>
        </w:tc>
      </w:tr>
    </w:tbl>
    <w:p>
      <w:pPr>
        <w:pStyle w:val="Heading1"/>
      </w:pPr>
      <w:r>
        <w:t>16. Search and local knowledge</w:t>
      </w:r>
    </w:p>
    <w:p>
      <w:r>
        <w:t>Use SQLite FTS5 for exact and prefix search. Add semantic search as an optional local embedding pipeline. Store embeddings by transcript chunk and artifact with model-version metadata so indexes can be rebuilt when the embedding model changes. Cross-session retrieval must cite session and timestamp evidence in the UI.</w:t>
      </w:r>
    </w:p>
    <w:p>
      <w:pPr>
        <w:pStyle w:val="Heading1"/>
      </w:pPr>
      <w:r>
        <w:t>17. Network isolation and model download</w:t>
      </w:r>
    </w:p>
    <w:p>
      <w:pPr>
        <w:pStyle w:val="ListBullet"/>
      </w:pPr>
      <w:r>
        <w:t>All inference code paths must work with the OS network disabled.</w:t>
      </w:r>
    </w:p>
    <w:p>
      <w:pPr>
        <w:pStyle w:val="ListBullet"/>
      </w:pPr>
      <w:r>
        <w:t>Network calls are owned only by ModelDownloadService and UpdateService.</w:t>
      </w:r>
    </w:p>
    <w:p>
      <w:pPr>
        <w:pStyle w:val="ListBullet"/>
      </w:pPr>
      <w:r>
        <w:t>Downloads require explicit user action or an explicitly enabled update policy.</w:t>
      </w:r>
    </w:p>
    <w:p>
      <w:pPr>
        <w:pStyle w:val="ListBullet"/>
      </w:pPr>
      <w:r>
        <w:t>Use resumable range downloads, disk-space preflight, SHA-256 verification and signed model manifests.</w:t>
      </w:r>
    </w:p>
    <w:p>
      <w:pPr>
        <w:pStyle w:val="ListBullet"/>
      </w:pPr>
      <w:r>
        <w:t>Never execute arbitrary model repository code or download Python packages.</w:t>
      </w:r>
    </w:p>
    <w:p>
      <w:pPr>
        <w:pStyle w:val="ListBullet"/>
      </w:pPr>
      <w:r>
        <w:t>Provide an offline import workflow for model files and manifests carried by USB or managed software distribution.</w:t>
      </w:r>
    </w:p>
    <w:p>
      <w:pPr>
        <w:pStyle w:val="ListBullet"/>
      </w:pPr>
      <w:r>
        <w:t>Expose a visible “Offline Ready” state after required models pass integrity checks.</w:t>
      </w:r>
    </w:p>
    <w:p>
      <w:pPr>
        <w:pStyle w:val="Heading1"/>
      </w:pPr>
      <w:r>
        <w:t>18. Security and privacy architecture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2563EB"/>
            <w:vAlign w:val="center"/>
          </w:tcPr>
          <w:p>
            <w:r>
              <w:rPr>
                <w:b/>
                <w:color w:val="FFFFFF"/>
                <w:sz w:val="17"/>
              </w:rPr>
              <w:t>Threat</w:t>
            </w:r>
          </w:p>
        </w:tc>
        <w:tc>
          <w:tcPr>
            <w:tcW w:type="dxa" w:w="5040"/>
            <w:shd w:fill="2563EB"/>
            <w:vAlign w:val="center"/>
          </w:tcPr>
          <w:p>
            <w:r>
              <w:rPr>
                <w:b/>
                <w:color w:val="FFFFFF"/>
                <w:sz w:val="17"/>
              </w:rPr>
              <w:t>Control</w:t>
            </w:r>
          </w:p>
        </w:tc>
      </w:tr>
      <w:tr>
        <w:tc>
          <w:tcPr>
            <w:tcW w:type="dxa" w:w="5040"/>
            <w:vAlign w:val="top"/>
          </w:tcPr>
          <w:p>
            <w:r>
              <w:rPr>
                <w:sz w:val="16"/>
              </w:rPr>
              <w:t>Compromised WebView content</w:t>
            </w:r>
          </w:p>
        </w:tc>
        <w:tc>
          <w:tcPr>
            <w:tcW w:type="dxa" w:w="5040"/>
            <w:vAlign w:val="top"/>
          </w:tcPr>
          <w:p>
            <w:r>
              <w:rPr>
                <w:sz w:val="16"/>
              </w:rPr>
              <w:t>No remote content; strict CSP; Tauri capabilities scoped per window; narrow commands.</w:t>
            </w:r>
          </w:p>
        </w:tc>
      </w:tr>
      <w:tr>
        <w:tc>
          <w:tcPr>
            <w:tcW w:type="dxa" w:w="5040"/>
            <w:vAlign w:val="top"/>
          </w:tcPr>
          <w:p>
            <w:r>
              <w:rPr>
                <w:sz w:val="16"/>
              </w:rPr>
              <w:t>Untrusted model file</w:t>
            </w:r>
          </w:p>
        </w:tc>
        <w:tc>
          <w:tcPr>
            <w:tcW w:type="dxa" w:w="5040"/>
            <w:vAlign w:val="top"/>
          </w:tcPr>
          <w:p>
            <w:r>
              <w:rPr>
                <w:sz w:val="16"/>
              </w:rPr>
              <w:t>Signed catalog manifest, checksum, size bounds, parser hardening, no arbitrary code.</w:t>
            </w:r>
          </w:p>
        </w:tc>
      </w:tr>
      <w:tr>
        <w:tc>
          <w:tcPr>
            <w:tcW w:type="dxa" w:w="5040"/>
            <w:vAlign w:val="top"/>
          </w:tcPr>
          <w:p>
            <w:r>
              <w:rPr>
                <w:sz w:val="16"/>
              </w:rPr>
              <w:t>Accidental recording</w:t>
            </w:r>
          </w:p>
        </w:tc>
        <w:tc>
          <w:tcPr>
            <w:tcW w:type="dxa" w:w="5040"/>
            <w:vAlign w:val="top"/>
          </w:tcPr>
          <w:p>
            <w:r>
              <w:rPr>
                <w:sz w:val="16"/>
              </w:rPr>
              <w:t>Explicit preflight, persistent red indicator, tray status, global stop, optional sound cue.</w:t>
            </w:r>
          </w:p>
        </w:tc>
      </w:tr>
      <w:tr>
        <w:tc>
          <w:tcPr>
            <w:tcW w:type="dxa" w:w="5040"/>
            <w:vAlign w:val="top"/>
          </w:tcPr>
          <w:p>
            <w:r>
              <w:rPr>
                <w:sz w:val="16"/>
              </w:rPr>
              <w:t>Sensitive logs</w:t>
            </w:r>
          </w:p>
        </w:tc>
        <w:tc>
          <w:tcPr>
            <w:tcW w:type="dxa" w:w="5040"/>
            <w:vAlign w:val="top"/>
          </w:tcPr>
          <w:p>
            <w:r>
              <w:rPr>
                <w:sz w:val="16"/>
              </w:rPr>
              <w:t>No transcript/audio in diagnostic logs; identifiers pseudonymized; opt-in support bundle preview.</w:t>
            </w:r>
          </w:p>
        </w:tc>
      </w:tr>
      <w:tr>
        <w:tc>
          <w:tcPr>
            <w:tcW w:type="dxa" w:w="5040"/>
            <w:vAlign w:val="top"/>
          </w:tcPr>
          <w:p>
            <w:r>
              <w:rPr>
                <w:sz w:val="16"/>
              </w:rPr>
              <w:t>Data theft at rest</w:t>
            </w:r>
          </w:p>
        </w:tc>
        <w:tc>
          <w:tcPr>
            <w:tcW w:type="dxa" w:w="5040"/>
            <w:vAlign w:val="top"/>
          </w:tcPr>
          <w:p>
            <w:r>
              <w:rPr>
                <w:sz w:val="16"/>
              </w:rPr>
              <w:t>Database/audio encryption plus OS credential store; configurable auto-lock.</w:t>
            </w:r>
          </w:p>
        </w:tc>
      </w:tr>
      <w:tr>
        <w:tc>
          <w:tcPr>
            <w:tcW w:type="dxa" w:w="5040"/>
            <w:vAlign w:val="top"/>
          </w:tcPr>
          <w:p>
            <w:r>
              <w:rPr>
                <w:sz w:val="16"/>
              </w:rPr>
              <w:t>Path traversal/export abuse</w:t>
            </w:r>
          </w:p>
        </w:tc>
        <w:tc>
          <w:tcPr>
            <w:tcW w:type="dxa" w:w="5040"/>
            <w:vAlign w:val="top"/>
          </w:tcPr>
          <w:p>
            <w:r>
              <w:rPr>
                <w:sz w:val="16"/>
              </w:rPr>
              <w:t>Canonical paths, user-mediated save dialog, scoped filesystem capability.</w:t>
            </w:r>
          </w:p>
        </w:tc>
      </w:tr>
      <w:tr>
        <w:tc>
          <w:tcPr>
            <w:tcW w:type="dxa" w:w="5040"/>
            <w:vAlign w:val="top"/>
          </w:tcPr>
          <w:p>
            <w:r>
              <w:rPr>
                <w:sz w:val="16"/>
              </w:rPr>
              <w:t>Audio feedback loop</w:t>
            </w:r>
          </w:p>
        </w:tc>
        <w:tc>
          <w:tcPr>
            <w:tcW w:type="dxa" w:w="5040"/>
            <w:vAlign w:val="top"/>
          </w:tcPr>
          <w:p>
            <w:r>
              <w:rPr>
                <w:sz w:val="16"/>
              </w:rPr>
              <w:t>Capture adapter excludes self where possible; application capture and microphone are separate.</w:t>
            </w:r>
          </w:p>
        </w:tc>
      </w:tr>
      <w:tr>
        <w:tc>
          <w:tcPr>
            <w:tcW w:type="dxa" w:w="5040"/>
            <w:vAlign w:val="top"/>
          </w:tcPr>
          <w:p>
            <w:r>
              <w:rPr>
                <w:sz w:val="16"/>
              </w:rPr>
              <w:t>Supply chain</w:t>
            </w:r>
          </w:p>
        </w:tc>
        <w:tc>
          <w:tcPr>
            <w:tcW w:type="dxa" w:w="5040"/>
            <w:vAlign w:val="top"/>
          </w:tcPr>
          <w:p>
            <w:r>
              <w:rPr>
                <w:sz w:val="16"/>
              </w:rPr>
              <w:t>Pinned dependencies, SBOM, reproducible builds where feasible, signed releases and updates.</w:t>
            </w:r>
          </w:p>
        </w:tc>
      </w:tr>
    </w:tbl>
    <w:p>
      <w:pPr>
        <w:pStyle w:val="Heading1"/>
      </w:pPr>
      <w:r>
        <w:t>19. UX architecture and workflows</w:t>
      </w:r>
    </w:p>
    <w:p>
      <w:pPr>
        <w:pStyle w:val="Heading2"/>
      </w:pPr>
      <w:r>
        <w:t>19.1 First run</w:t>
      </w:r>
    </w:p>
    <w:p>
      <w:pPr>
        <w:pStyle w:val="ListNumber"/>
      </w:pPr>
      <w:r>
        <w:t>Explain local-only processing and permissions.</w:t>
      </w:r>
    </w:p>
    <w:p>
      <w:pPr>
        <w:pStyle w:val="ListNumber"/>
      </w:pPr>
      <w:r>
        <w:t>Run hardware detection and disk-space check.</w:t>
      </w:r>
    </w:p>
    <w:p>
      <w:pPr>
        <w:pStyle w:val="ListNumber"/>
      </w:pPr>
      <w:r>
        <w:t>Offer Recommended, Lightweight and Quality model packs.</w:t>
      </w:r>
    </w:p>
    <w:p>
      <w:pPr>
        <w:pStyle w:val="ListNumber"/>
      </w:pPr>
      <w:r>
        <w:t>Download with progress, pause/resume and checksum verification.</w:t>
      </w:r>
    </w:p>
    <w:p>
      <w:pPr>
        <w:pStyle w:val="ListNumber"/>
      </w:pPr>
      <w:r>
        <w:t>Run microphone and inference calibration.</w:t>
      </w:r>
    </w:p>
    <w:p>
      <w:pPr>
        <w:pStyle w:val="ListNumber"/>
      </w:pPr>
      <w:r>
        <w:t>Show Offline Ready status and a short guided test recording.</w:t>
      </w:r>
    </w:p>
    <w:p>
      <w:pPr>
        <w:pStyle w:val="Heading2"/>
      </w:pPr>
      <w:r>
        <w:t>19.2 Start recording</w:t>
      </w:r>
    </w:p>
    <w:p>
      <w:pPr>
        <w:pStyle w:val="ListNumber"/>
      </w:pPr>
      <w:r>
        <w:t>Open source picker with applications currently producing audio ranked first.</w:t>
      </w:r>
    </w:p>
    <w:p>
      <w:pPr>
        <w:pStyle w:val="ListNumber"/>
      </w:pPr>
      <w:r>
        <w:t>Select application and optional microphone.</w:t>
      </w:r>
    </w:p>
    <w:p>
      <w:pPr>
        <w:pStyle w:val="ListNumber"/>
      </w:pPr>
      <w:r>
        <w:t>Show permission and audio-meter preflight.</w:t>
      </w:r>
    </w:p>
    <w:p>
      <w:pPr>
        <w:pStyle w:val="ListNumber"/>
      </w:pPr>
      <w:r>
        <w:t>Choose note template and language mode or Auto.</w:t>
      </w:r>
    </w:p>
    <w:p>
      <w:pPr>
        <w:pStyle w:val="ListNumber"/>
      </w:pPr>
      <w:r>
        <w:t>Start only after both selected tracks report healthy frames.</w:t>
      </w:r>
    </w:p>
    <w:p>
      <w:pPr>
        <w:pStyle w:val="ListNumber"/>
      </w:pPr>
      <w:r>
        <w:t>Display persistent source identity and recording indicator.</w:t>
      </w:r>
    </w:p>
    <w:p>
      <w:pPr>
        <w:pStyle w:val="Heading2"/>
      </w:pPr>
      <w:r>
        <w:t>19.3 During recording</w:t>
      </w:r>
    </w:p>
    <w:p>
      <w:pPr>
        <w:pStyle w:val="ListBullet"/>
      </w:pPr>
      <w:r>
        <w:t>Live transcript with provisional text visually distinct from finalized text.</w:t>
      </w:r>
    </w:p>
    <w:p>
      <w:pPr>
        <w:pStyle w:val="ListBullet"/>
      </w:pPr>
      <w:r>
        <w:t>Health indicators for app audio, microphone, dropped frames and transcription delay.</w:t>
      </w:r>
    </w:p>
    <w:p>
      <w:pPr>
        <w:pStyle w:val="ListBullet"/>
      </w:pPr>
      <w:r>
        <w:t>Bookmarks and quick notes without interrupting capture.</w:t>
      </w:r>
    </w:p>
    <w:p>
      <w:pPr>
        <w:pStyle w:val="ListBullet"/>
      </w:pPr>
      <w:r>
        <w:t>Pause, resume, switch microphone, and controlled application-source change.</w:t>
      </w:r>
    </w:p>
    <w:p>
      <w:pPr>
        <w:pStyle w:val="ListBullet"/>
      </w:pPr>
      <w:r>
        <w:t>LLM-derived live insights are optional and never block the recorder.</w:t>
      </w:r>
    </w:p>
    <w:p>
      <w:pPr>
        <w:pStyle w:val="Heading2"/>
      </w:pPr>
      <w:r>
        <w:t>19.4 Review and finalize</w:t>
      </w:r>
    </w:p>
    <w:p>
      <w:pPr>
        <w:pStyle w:val="ListNumber"/>
      </w:pPr>
      <w:r>
        <w:t>Stop capture and immediately secure journal/checkpoints.</w:t>
      </w:r>
    </w:p>
    <w:p>
      <w:pPr>
        <w:pStyle w:val="ListNumber"/>
      </w:pPr>
      <w:r>
        <w:t>Run final transcription pass with progress and cancellation.</w:t>
      </w:r>
    </w:p>
    <w:p>
      <w:pPr>
        <w:pStyle w:val="ListNumber"/>
      </w:pPr>
      <w:r>
        <w:t>Generate summary, MoM, decisions and actions using evidence-linked schemas.</w:t>
      </w:r>
    </w:p>
    <w:p>
      <w:pPr>
        <w:pStyle w:val="ListNumber"/>
      </w:pPr>
      <w:r>
        <w:t>Present transcript and artifacts side by side for correction.</w:t>
      </w:r>
    </w:p>
    <w:p>
      <w:pPr>
        <w:pStyle w:val="ListNumber"/>
      </w:pPr>
      <w:r>
        <w:t>Regenerate individual sections without overwriting user edits unless approved.</w:t>
      </w:r>
    </w:p>
    <w:p>
      <w:pPr>
        <w:pStyle w:val="ListNumber"/>
      </w:pPr>
      <w:r>
        <w:t>Export or retain locally according to the selected policy.</w:t>
      </w:r>
    </w:p>
    <w:p>
      <w:pPr>
        <w:pStyle w:val="Heading1"/>
      </w:pPr>
      <w:r>
        <w:t>20. Reliability and recovery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2563EB"/>
            <w:vAlign w:val="center"/>
          </w:tcPr>
          <w:p>
            <w:r>
              <w:rPr>
                <w:b/>
                <w:color w:val="FFFFFF"/>
                <w:sz w:val="17"/>
              </w:rPr>
              <w:t>Failure</w:t>
            </w:r>
          </w:p>
        </w:tc>
        <w:tc>
          <w:tcPr>
            <w:tcW w:type="dxa" w:w="5040"/>
            <w:shd w:fill="2563EB"/>
            <w:vAlign w:val="center"/>
          </w:tcPr>
          <w:p>
            <w:r>
              <w:rPr>
                <w:b/>
                <w:color w:val="FFFFFF"/>
                <w:sz w:val="17"/>
              </w:rPr>
              <w:t>Expected behavior</w:t>
            </w:r>
          </w:p>
        </w:tc>
      </w:tr>
      <w:tr>
        <w:tc>
          <w:tcPr>
            <w:tcW w:type="dxa" w:w="5040"/>
            <w:vAlign w:val="top"/>
          </w:tcPr>
          <w:p>
            <w:r>
              <w:rPr>
                <w:sz w:val="16"/>
              </w:rPr>
              <w:t>Selected app exits</w:t>
            </w:r>
          </w:p>
        </w:tc>
        <w:tc>
          <w:tcPr>
            <w:tcW w:type="dxa" w:w="5040"/>
            <w:vAlign w:val="top"/>
          </w:tcPr>
          <w:p>
            <w:r>
              <w:rPr>
                <w:sz w:val="16"/>
              </w:rPr>
              <w:t>Keep microphone if active; mark timestamp; offer reselect; never fall back to system-wide capture.</w:t>
            </w:r>
          </w:p>
        </w:tc>
      </w:tr>
      <w:tr>
        <w:tc>
          <w:tcPr>
            <w:tcW w:type="dxa" w:w="5040"/>
            <w:vAlign w:val="top"/>
          </w:tcPr>
          <w:p>
            <w:r>
              <w:rPr>
                <w:sz w:val="16"/>
              </w:rPr>
              <w:t>Audio device removed</w:t>
            </w:r>
          </w:p>
        </w:tc>
        <w:tc>
          <w:tcPr>
            <w:tcW w:type="dxa" w:w="5040"/>
            <w:vAlign w:val="top"/>
          </w:tcPr>
          <w:p>
            <w:r>
              <w:rPr>
                <w:sz w:val="16"/>
              </w:rPr>
              <w:t>Switch only with explicit configured fallback; journal discontinuity.</w:t>
            </w:r>
          </w:p>
        </w:tc>
      </w:tr>
      <w:tr>
        <w:tc>
          <w:tcPr>
            <w:tcW w:type="dxa" w:w="5040"/>
            <w:vAlign w:val="top"/>
          </w:tcPr>
          <w:p>
            <w:r>
              <w:rPr>
                <w:sz w:val="16"/>
              </w:rPr>
              <w:t>STT out of memory</w:t>
            </w:r>
          </w:p>
        </w:tc>
        <w:tc>
          <w:tcPr>
            <w:tcW w:type="dxa" w:w="5040"/>
            <w:vAlign w:val="top"/>
          </w:tcPr>
          <w:p>
            <w:r>
              <w:rPr>
                <w:sz w:val="16"/>
              </w:rPr>
              <w:t>Reduce profile or queue finalization; continue recording to chunks.</w:t>
            </w:r>
          </w:p>
        </w:tc>
      </w:tr>
      <w:tr>
        <w:tc>
          <w:tcPr>
            <w:tcW w:type="dxa" w:w="5040"/>
            <w:vAlign w:val="top"/>
          </w:tcPr>
          <w:p>
            <w:r>
              <w:rPr>
                <w:sz w:val="16"/>
              </w:rPr>
              <w:t>LLM failure</w:t>
            </w:r>
          </w:p>
        </w:tc>
        <w:tc>
          <w:tcPr>
            <w:tcW w:type="dxa" w:w="5040"/>
            <w:vAlign w:val="top"/>
          </w:tcPr>
          <w:p>
            <w:r>
              <w:rPr>
                <w:sz w:val="16"/>
              </w:rPr>
              <w:t>Keep transcript; retry artifact generation independently.</w:t>
            </w:r>
          </w:p>
        </w:tc>
      </w:tr>
      <w:tr>
        <w:tc>
          <w:tcPr>
            <w:tcW w:type="dxa" w:w="5040"/>
            <w:vAlign w:val="top"/>
          </w:tcPr>
          <w:p>
            <w:r>
              <w:rPr>
                <w:sz w:val="16"/>
              </w:rPr>
              <w:t>Disk nearly full</w:t>
            </w:r>
          </w:p>
        </w:tc>
        <w:tc>
          <w:tcPr>
            <w:tcW w:type="dxa" w:w="5040"/>
            <w:vAlign w:val="top"/>
          </w:tcPr>
          <w:p>
            <w:r>
              <w:rPr>
                <w:sz w:val="16"/>
              </w:rPr>
              <w:t>Warn before recording; stop optional audio retention first; preserve transcript journal.</w:t>
            </w:r>
          </w:p>
        </w:tc>
      </w:tr>
      <w:tr>
        <w:tc>
          <w:tcPr>
            <w:tcW w:type="dxa" w:w="5040"/>
            <w:vAlign w:val="top"/>
          </w:tcPr>
          <w:p>
            <w:r>
              <w:rPr>
                <w:sz w:val="16"/>
              </w:rPr>
              <w:t>Application crash</w:t>
            </w:r>
          </w:p>
        </w:tc>
        <w:tc>
          <w:tcPr>
            <w:tcW w:type="dxa" w:w="5040"/>
            <w:vAlign w:val="top"/>
          </w:tcPr>
          <w:p>
            <w:r>
              <w:rPr>
                <w:sz w:val="16"/>
              </w:rPr>
              <w:t>Recover session from journal and chunks; present Recovery card on next launch.</w:t>
            </w:r>
          </w:p>
        </w:tc>
      </w:tr>
      <w:tr>
        <w:tc>
          <w:tcPr>
            <w:tcW w:type="dxa" w:w="5040"/>
            <w:vAlign w:val="top"/>
          </w:tcPr>
          <w:p>
            <w:r>
              <w:rPr>
                <w:sz w:val="16"/>
              </w:rPr>
              <w:t>Sleep/wake</w:t>
            </w:r>
          </w:p>
        </w:tc>
        <w:tc>
          <w:tcPr>
            <w:tcW w:type="dxa" w:w="5040"/>
            <w:vAlign w:val="top"/>
          </w:tcPr>
          <w:p>
            <w:r>
              <w:rPr>
                <w:sz w:val="16"/>
              </w:rPr>
              <w:t>Pause or segment session; reinitialize native clocks and adapters.</w:t>
            </w:r>
          </w:p>
        </w:tc>
      </w:tr>
      <w:tr>
        <w:tc>
          <w:tcPr>
            <w:tcW w:type="dxa" w:w="5040"/>
            <w:vAlign w:val="top"/>
          </w:tcPr>
          <w:p>
            <w:r>
              <w:rPr>
                <w:sz w:val="16"/>
              </w:rPr>
              <w:t>Permission revoked</w:t>
            </w:r>
          </w:p>
        </w:tc>
        <w:tc>
          <w:tcPr>
            <w:tcW w:type="dxa" w:w="5040"/>
            <w:vAlign w:val="top"/>
          </w:tcPr>
          <w:p>
            <w:r>
              <w:rPr>
                <w:sz w:val="16"/>
              </w:rPr>
              <w:t>Stop affected track, explain remediation, preserve remaining track.</w:t>
            </w:r>
          </w:p>
        </w:tc>
      </w:tr>
    </w:tbl>
    <w:p>
      <w:pPr>
        <w:pStyle w:val="Heading1"/>
      </w:pPr>
      <w:r>
        <w:t>21. Observability without surveillance</w:t>
      </w:r>
    </w:p>
    <w:p>
      <w:pPr>
        <w:pStyle w:val="ListBullet"/>
      </w:pPr>
      <w:r>
        <w:t>Local structured logs with severity, subsystem and error code; no transcript text by default.</w:t>
      </w:r>
    </w:p>
    <w:p>
      <w:pPr>
        <w:pStyle w:val="ListBullet"/>
      </w:pPr>
      <w:r>
        <w:t>Ring-buffer performance metrics: capture lag, dropped frames, real-time factor, token throughput and memory.</w:t>
      </w:r>
    </w:p>
    <w:p>
      <w:pPr>
        <w:pStyle w:val="ListBullet"/>
      </w:pPr>
      <w:r>
        <w:t>User-controlled diagnostic bundle with preview and redaction.</w:t>
      </w:r>
    </w:p>
    <w:p>
      <w:pPr>
        <w:pStyle w:val="ListBullet"/>
      </w:pPr>
      <w:r>
        <w:t>No remote telemetry by default. Any future telemetry must be opt-in, aggregate and independently disableable.</w:t>
      </w:r>
    </w:p>
    <w:p>
      <w:pPr>
        <w:pStyle w:val="Heading1"/>
      </w:pPr>
      <w:r>
        <w:t>22. Packaging and release engineering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2563EB"/>
            <w:vAlign w:val="center"/>
          </w:tcPr>
          <w:p>
            <w:r>
              <w:rPr>
                <w:b/>
                <w:color w:val="FFFFFF"/>
                <w:sz w:val="17"/>
              </w:rPr>
              <w:t>Platform</w:t>
            </w:r>
          </w:p>
        </w:tc>
        <w:tc>
          <w:tcPr>
            <w:tcW w:type="dxa" w:w="3360"/>
            <w:shd w:fill="2563EB"/>
            <w:vAlign w:val="center"/>
          </w:tcPr>
          <w:p>
            <w:r>
              <w:rPr>
                <w:b/>
                <w:color w:val="FFFFFF"/>
                <w:sz w:val="17"/>
              </w:rPr>
              <w:t>Artifacts</w:t>
            </w:r>
          </w:p>
        </w:tc>
        <w:tc>
          <w:tcPr>
            <w:tcW w:type="dxa" w:w="3360"/>
            <w:shd w:fill="2563EB"/>
            <w:vAlign w:val="center"/>
          </w:tcPr>
          <w:p>
            <w:r>
              <w:rPr>
                <w:b/>
                <w:color w:val="FFFFFF"/>
                <w:sz w:val="17"/>
              </w:rPr>
              <w:t>Production requirements</w:t>
            </w:r>
          </w:p>
        </w:tc>
      </w:tr>
      <w:tr>
        <w:tc>
          <w:tcPr>
            <w:tcW w:type="dxa" w:w="3360"/>
            <w:vAlign w:val="top"/>
          </w:tcPr>
          <w:p>
            <w:r>
              <w:rPr>
                <w:sz w:val="16"/>
              </w:rPr>
              <w:t>macOS</w:t>
            </w:r>
          </w:p>
        </w:tc>
        <w:tc>
          <w:tcPr>
            <w:tcW w:type="dxa" w:w="3360"/>
            <w:vAlign w:val="top"/>
          </w:tcPr>
          <w:p>
            <w:r>
              <w:rPr>
                <w:sz w:val="16"/>
              </w:rPr>
              <w:t>Universal or separate arm64/x64 .app + DMG</w:t>
            </w:r>
          </w:p>
        </w:tc>
        <w:tc>
          <w:tcPr>
            <w:tcW w:type="dxa" w:w="3360"/>
            <w:vAlign w:val="top"/>
          </w:tcPr>
          <w:p>
            <w:r>
              <w:rPr>
                <w:sz w:val="16"/>
              </w:rPr>
              <w:t>Developer ID signing, hardened runtime, notarization, permission descriptions, Sparkle/Tauri updater choice.</w:t>
            </w:r>
          </w:p>
        </w:tc>
      </w:tr>
      <w:tr>
        <w:tc>
          <w:tcPr>
            <w:tcW w:type="dxa" w:w="3360"/>
            <w:vAlign w:val="top"/>
          </w:tcPr>
          <w:p>
            <w:r>
              <w:rPr>
                <w:sz w:val="16"/>
              </w:rPr>
              <w:t>Windows</w:t>
            </w:r>
          </w:p>
        </w:tc>
        <w:tc>
          <w:tcPr>
            <w:tcW w:type="dxa" w:w="3360"/>
            <w:vAlign w:val="top"/>
          </w:tcPr>
          <w:p>
            <w:r>
              <w:rPr>
                <w:sz w:val="16"/>
              </w:rPr>
              <w:t>x64/arm64 MSI or EXE</w:t>
            </w:r>
          </w:p>
        </w:tc>
        <w:tc>
          <w:tcPr>
            <w:tcW w:type="dxa" w:w="3360"/>
            <w:vAlign w:val="top"/>
          </w:tcPr>
          <w:p>
            <w:r>
              <w:rPr>
                <w:sz w:val="16"/>
              </w:rPr>
              <w:t>Authenticode signing, update rollback, VC/runtime dependency strategy, GPU backend probing.</w:t>
            </w:r>
          </w:p>
        </w:tc>
      </w:tr>
      <w:tr>
        <w:tc>
          <w:tcPr>
            <w:tcW w:type="dxa" w:w="3360"/>
            <w:vAlign w:val="top"/>
          </w:tcPr>
          <w:p>
            <w:r>
              <w:rPr>
                <w:sz w:val="16"/>
              </w:rPr>
              <w:t>Linux</w:t>
            </w:r>
          </w:p>
        </w:tc>
        <w:tc>
          <w:tcPr>
            <w:tcW w:type="dxa" w:w="3360"/>
            <w:vAlign w:val="top"/>
          </w:tcPr>
          <w:p>
            <w:r>
              <w:rPr>
                <w:sz w:val="16"/>
              </w:rPr>
              <w:t>AppImage and Flatpak; optional deb/rpm</w:t>
            </w:r>
          </w:p>
        </w:tc>
        <w:tc>
          <w:tcPr>
            <w:tcW w:type="dxa" w:w="3360"/>
            <w:vAlign w:val="top"/>
          </w:tcPr>
          <w:p>
            <w:r>
              <w:rPr>
                <w:sz w:val="16"/>
              </w:rPr>
              <w:t>Portal tests, PipeWire/WirePlumber dependencies, sandbox permissions, distro certification matrix.</w:t>
            </w:r>
          </w:p>
        </w:tc>
      </w:tr>
    </w:tbl>
    <w:p>
      <w:r>
        <w:t>Model binaries should not be embedded in the base installer. The installer contains engines, manifests and a minimal no-model experience; model packs are downloaded or imported after installation.</w:t>
      </w:r>
    </w:p>
    <w:p>
      <w:pPr>
        <w:pStyle w:val="Heading1"/>
      </w:pPr>
      <w:r>
        <w:t>23. Testing strategy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2563EB"/>
            <w:vAlign w:val="center"/>
          </w:tcPr>
          <w:p>
            <w:r>
              <w:rPr>
                <w:b/>
                <w:color w:val="FFFFFF"/>
                <w:sz w:val="17"/>
              </w:rPr>
              <w:t>Layer</w:t>
            </w:r>
          </w:p>
        </w:tc>
        <w:tc>
          <w:tcPr>
            <w:tcW w:type="dxa" w:w="5040"/>
            <w:shd w:fill="2563EB"/>
            <w:vAlign w:val="center"/>
          </w:tcPr>
          <w:p>
            <w:r>
              <w:rPr>
                <w:b/>
                <w:color w:val="FFFFFF"/>
                <w:sz w:val="17"/>
              </w:rPr>
              <w:t>Tests</w:t>
            </w:r>
          </w:p>
        </w:tc>
      </w:tr>
      <w:tr>
        <w:tc>
          <w:tcPr>
            <w:tcW w:type="dxa" w:w="5040"/>
            <w:vAlign w:val="top"/>
          </w:tcPr>
          <w:p>
            <w:r>
              <w:rPr>
                <w:sz w:val="16"/>
              </w:rPr>
              <w:t>Domain</w:t>
            </w:r>
          </w:p>
        </w:tc>
        <w:tc>
          <w:tcPr>
            <w:tcW w:type="dxa" w:w="5040"/>
            <w:vAlign w:val="top"/>
          </w:tcPr>
          <w:p>
            <w:r>
              <w:rPr>
                <w:sz w:val="16"/>
              </w:rPr>
              <w:t>State-machine, schema, journal replay, cancellation and migration tests.</w:t>
            </w:r>
          </w:p>
        </w:tc>
      </w:tr>
      <w:tr>
        <w:tc>
          <w:tcPr>
            <w:tcW w:type="dxa" w:w="5040"/>
            <w:vAlign w:val="top"/>
          </w:tcPr>
          <w:p>
            <w:r>
              <w:rPr>
                <w:sz w:val="16"/>
              </w:rPr>
              <w:t>Media</w:t>
            </w:r>
          </w:p>
        </w:tc>
        <w:tc>
          <w:tcPr>
            <w:tcW w:type="dxa" w:w="5040"/>
            <w:vAlign w:val="top"/>
          </w:tcPr>
          <w:p>
            <w:r>
              <w:rPr>
                <w:sz w:val="16"/>
              </w:rPr>
              <w:t>Synthetic clocks, format conversion, resampling, overflow and drift tests.</w:t>
            </w:r>
          </w:p>
        </w:tc>
      </w:tr>
      <w:tr>
        <w:tc>
          <w:tcPr>
            <w:tcW w:type="dxa" w:w="5040"/>
            <w:vAlign w:val="top"/>
          </w:tcPr>
          <w:p>
            <w:r>
              <w:rPr>
                <w:sz w:val="16"/>
              </w:rPr>
              <w:t>Capture adapters</w:t>
            </w:r>
          </w:p>
        </w:tc>
        <w:tc>
          <w:tcPr>
            <w:tcW w:type="dxa" w:w="5040"/>
            <w:vAlign w:val="top"/>
          </w:tcPr>
          <w:p>
            <w:r>
              <w:rPr>
                <w:sz w:val="16"/>
              </w:rPr>
              <w:t>Native integration tests with known-tone generator applications and app process churn.</w:t>
            </w:r>
          </w:p>
        </w:tc>
      </w:tr>
      <w:tr>
        <w:tc>
          <w:tcPr>
            <w:tcW w:type="dxa" w:w="5040"/>
            <w:vAlign w:val="top"/>
          </w:tcPr>
          <w:p>
            <w:r>
              <w:rPr>
                <w:sz w:val="16"/>
              </w:rPr>
              <w:t>STT</w:t>
            </w:r>
          </w:p>
        </w:tc>
        <w:tc>
          <w:tcPr>
            <w:tcW w:type="dxa" w:w="5040"/>
            <w:vAlign w:val="top"/>
          </w:tcPr>
          <w:p>
            <w:r>
              <w:rPr>
                <w:sz w:val="16"/>
              </w:rPr>
              <w:t>Golden audio corpus by language/accent/noise; word error rate and latency regression.</w:t>
            </w:r>
          </w:p>
        </w:tc>
      </w:tr>
      <w:tr>
        <w:tc>
          <w:tcPr>
            <w:tcW w:type="dxa" w:w="5040"/>
            <w:vAlign w:val="top"/>
          </w:tcPr>
          <w:p>
            <w:r>
              <w:rPr>
                <w:sz w:val="16"/>
              </w:rPr>
              <w:t>LLM</w:t>
            </w:r>
          </w:p>
        </w:tc>
        <w:tc>
          <w:tcPr>
            <w:tcW w:type="dxa" w:w="5040"/>
            <w:vAlign w:val="top"/>
          </w:tcPr>
          <w:p>
            <w:r>
              <w:rPr>
                <w:sz w:val="16"/>
              </w:rPr>
              <w:t>Schema validity, evidence grounding, hallucination checks, long-meeting summaries.</w:t>
            </w:r>
          </w:p>
        </w:tc>
      </w:tr>
      <w:tr>
        <w:tc>
          <w:tcPr>
            <w:tcW w:type="dxa" w:w="5040"/>
            <w:vAlign w:val="top"/>
          </w:tcPr>
          <w:p>
            <w:r>
              <w:rPr>
                <w:sz w:val="16"/>
              </w:rPr>
              <w:t>Offline</w:t>
            </w:r>
          </w:p>
        </w:tc>
        <w:tc>
          <w:tcPr>
            <w:tcW w:type="dxa" w:w="5040"/>
            <w:vAlign w:val="top"/>
          </w:tcPr>
          <w:p>
            <w:r>
              <w:rPr>
                <w:sz w:val="16"/>
              </w:rPr>
              <w:t>Firewall-denied end-to-end suite after model installation.</w:t>
            </w:r>
          </w:p>
        </w:tc>
      </w:tr>
      <w:tr>
        <w:tc>
          <w:tcPr>
            <w:tcW w:type="dxa" w:w="5040"/>
            <w:vAlign w:val="top"/>
          </w:tcPr>
          <w:p>
            <w:r>
              <w:rPr>
                <w:sz w:val="16"/>
              </w:rPr>
              <w:t>Recovery</w:t>
            </w:r>
          </w:p>
        </w:tc>
        <w:tc>
          <w:tcPr>
            <w:tcW w:type="dxa" w:w="5040"/>
            <w:vAlign w:val="top"/>
          </w:tcPr>
          <w:p>
            <w:r>
              <w:rPr>
                <w:sz w:val="16"/>
              </w:rPr>
              <w:t>Forced kill at every session state; disk-full; permission revocation; sleep/wake.</w:t>
            </w:r>
          </w:p>
        </w:tc>
      </w:tr>
      <w:tr>
        <w:tc>
          <w:tcPr>
            <w:tcW w:type="dxa" w:w="5040"/>
            <w:vAlign w:val="top"/>
          </w:tcPr>
          <w:p>
            <w:r>
              <w:rPr>
                <w:sz w:val="16"/>
              </w:rPr>
              <w:t>UX</w:t>
            </w:r>
          </w:p>
        </w:tc>
        <w:tc>
          <w:tcPr>
            <w:tcW w:type="dxa" w:w="5040"/>
            <w:vAlign w:val="top"/>
          </w:tcPr>
          <w:p>
            <w:r>
              <w:rPr>
                <w:sz w:val="16"/>
              </w:rPr>
              <w:t>Keyboard, screen-reader, high-DPI, multi-monitor, RTL/localization and permission journeys.</w:t>
            </w:r>
          </w:p>
        </w:tc>
      </w:tr>
      <w:tr>
        <w:tc>
          <w:tcPr>
            <w:tcW w:type="dxa" w:w="5040"/>
            <w:vAlign w:val="top"/>
          </w:tcPr>
          <w:p>
            <w:r>
              <w:rPr>
                <w:sz w:val="16"/>
              </w:rPr>
              <w:t>Release</w:t>
            </w:r>
          </w:p>
        </w:tc>
        <w:tc>
          <w:tcPr>
            <w:tcW w:type="dxa" w:w="5040"/>
            <w:vAlign w:val="top"/>
          </w:tcPr>
          <w:p>
            <w:r>
              <w:rPr>
                <w:sz w:val="16"/>
              </w:rPr>
              <w:t>Signed update, downgrade prevention, checksum failure, corrupted model and rollback tests.</w:t>
            </w:r>
          </w:p>
        </w:tc>
      </w:tr>
    </w:tbl>
    <w:p>
      <w:pPr>
        <w:pStyle w:val="Heading1"/>
      </w:pPr>
      <w:r>
        <w:t>24. Delivery workstreams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2563EB"/>
            <w:vAlign w:val="center"/>
          </w:tcPr>
          <w:p>
            <w:r>
              <w:rPr>
                <w:b/>
                <w:color w:val="FFFFFF"/>
                <w:sz w:val="17"/>
              </w:rPr>
              <w:t>Workstream</w:t>
            </w:r>
          </w:p>
        </w:tc>
        <w:tc>
          <w:tcPr>
            <w:tcW w:type="dxa" w:w="5040"/>
            <w:shd w:fill="2563EB"/>
            <w:vAlign w:val="center"/>
          </w:tcPr>
          <w:p>
            <w:r>
              <w:rPr>
                <w:b/>
                <w:color w:val="FFFFFF"/>
                <w:sz w:val="17"/>
              </w:rPr>
              <w:t>Primary outputs</w:t>
            </w:r>
          </w:p>
        </w:tc>
      </w:tr>
      <w:tr>
        <w:tc>
          <w:tcPr>
            <w:tcW w:type="dxa" w:w="5040"/>
            <w:vAlign w:val="top"/>
          </w:tcPr>
          <w:p>
            <w:r>
              <w:rPr>
                <w:sz w:val="16"/>
              </w:rPr>
              <w:t>Foundation</w:t>
            </w:r>
          </w:p>
        </w:tc>
        <w:tc>
          <w:tcPr>
            <w:tcW w:type="dxa" w:w="5040"/>
            <w:vAlign w:val="top"/>
          </w:tcPr>
          <w:p>
            <w:r>
              <w:rPr>
                <w:sz w:val="16"/>
              </w:rPr>
              <w:t>Tauri shell, Rust workspace, capability policy, session domain, SQLite migrations.</w:t>
            </w:r>
          </w:p>
        </w:tc>
      </w:tr>
      <w:tr>
        <w:tc>
          <w:tcPr>
            <w:tcW w:type="dxa" w:w="5040"/>
            <w:vAlign w:val="top"/>
          </w:tcPr>
          <w:p>
            <w:r>
              <w:rPr>
                <w:sz w:val="16"/>
              </w:rPr>
              <w:t>macOS capture</w:t>
            </w:r>
          </w:p>
        </w:tc>
        <w:tc>
          <w:tcPr>
            <w:tcW w:type="dxa" w:w="5040"/>
            <w:vAlign w:val="top"/>
          </w:tcPr>
          <w:p>
            <w:r>
              <w:rPr>
                <w:sz w:val="16"/>
              </w:rPr>
              <w:t>Swift ScreenCaptureKit bridge, permission UX, app discovery and audio-only pipeline.</w:t>
            </w:r>
          </w:p>
        </w:tc>
      </w:tr>
      <w:tr>
        <w:tc>
          <w:tcPr>
            <w:tcW w:type="dxa" w:w="5040"/>
            <w:vAlign w:val="top"/>
          </w:tcPr>
          <w:p>
            <w:r>
              <w:rPr>
                <w:sz w:val="16"/>
              </w:rPr>
              <w:t>Windows capture</w:t>
            </w:r>
          </w:p>
        </w:tc>
        <w:tc>
          <w:tcPr>
            <w:tcW w:type="dxa" w:w="5040"/>
            <w:vAlign w:val="top"/>
          </w:tcPr>
          <w:p>
            <w:r>
              <w:rPr>
                <w:sz w:val="16"/>
              </w:rPr>
              <w:t>WASAPI process-loopback adapter and multi-process browser tracking.</w:t>
            </w:r>
          </w:p>
        </w:tc>
      </w:tr>
      <w:tr>
        <w:tc>
          <w:tcPr>
            <w:tcW w:type="dxa" w:w="5040"/>
            <w:vAlign w:val="top"/>
          </w:tcPr>
          <w:p>
            <w:r>
              <w:rPr>
                <w:sz w:val="16"/>
              </w:rPr>
              <w:t>Linux capture</w:t>
            </w:r>
          </w:p>
        </w:tc>
        <w:tc>
          <w:tcPr>
            <w:tcW w:type="dxa" w:w="5040"/>
            <w:vAlign w:val="top"/>
          </w:tcPr>
          <w:p>
            <w:r>
              <w:rPr>
                <w:sz w:val="16"/>
              </w:rPr>
              <w:t>PipeWire registry/stream adapter, WirePlumber compatibility and packaging matrix.</w:t>
            </w:r>
          </w:p>
        </w:tc>
      </w:tr>
      <w:tr>
        <w:tc>
          <w:tcPr>
            <w:tcW w:type="dxa" w:w="5040"/>
            <w:vAlign w:val="top"/>
          </w:tcPr>
          <w:p>
            <w:r>
              <w:rPr>
                <w:sz w:val="16"/>
              </w:rPr>
              <w:t>Speech</w:t>
            </w:r>
          </w:p>
        </w:tc>
        <w:tc>
          <w:tcPr>
            <w:tcW w:type="dxa" w:w="5040"/>
            <w:vAlign w:val="top"/>
          </w:tcPr>
          <w:p>
            <w:r>
              <w:rPr>
                <w:sz w:val="16"/>
              </w:rPr>
              <w:t>whisper.cpp engine, model profiles, live stabilization and final pass.</w:t>
            </w:r>
          </w:p>
        </w:tc>
      </w:tr>
      <w:tr>
        <w:tc>
          <w:tcPr>
            <w:tcW w:type="dxa" w:w="5040"/>
            <w:vAlign w:val="top"/>
          </w:tcPr>
          <w:p>
            <w:r>
              <w:rPr>
                <w:sz w:val="16"/>
              </w:rPr>
              <w:t>Language</w:t>
            </w:r>
          </w:p>
        </w:tc>
        <w:tc>
          <w:tcPr>
            <w:tcW w:type="dxa" w:w="5040"/>
            <w:vAlign w:val="top"/>
          </w:tcPr>
          <w:p>
            <w:r>
              <w:rPr>
                <w:sz w:val="16"/>
              </w:rPr>
              <w:t>llama.cpp engine, schemas, rolling state, templates and artifact editor.</w:t>
            </w:r>
          </w:p>
        </w:tc>
      </w:tr>
      <w:tr>
        <w:tc>
          <w:tcPr>
            <w:tcW w:type="dxa" w:w="5040"/>
            <w:vAlign w:val="top"/>
          </w:tcPr>
          <w:p>
            <w:r>
              <w:rPr>
                <w:sz w:val="16"/>
              </w:rPr>
              <w:t>Model distribution</w:t>
            </w:r>
          </w:p>
        </w:tc>
        <w:tc>
          <w:tcPr>
            <w:tcW w:type="dxa" w:w="5040"/>
            <w:vAlign w:val="top"/>
          </w:tcPr>
          <w:p>
            <w:r>
              <w:rPr>
                <w:sz w:val="16"/>
              </w:rPr>
              <w:t>Catalog, downloader/importer, verification, compatibility and quota UX.</w:t>
            </w:r>
          </w:p>
        </w:tc>
      </w:tr>
      <w:tr>
        <w:tc>
          <w:tcPr>
            <w:tcW w:type="dxa" w:w="5040"/>
            <w:vAlign w:val="top"/>
          </w:tcPr>
          <w:p>
            <w:r>
              <w:rPr>
                <w:sz w:val="16"/>
              </w:rPr>
              <w:t>Hardening</w:t>
            </w:r>
          </w:p>
        </w:tc>
        <w:tc>
          <w:tcPr>
            <w:tcW w:type="dxa" w:w="5040"/>
            <w:vAlign w:val="top"/>
          </w:tcPr>
          <w:p>
            <w:r>
              <w:rPr>
                <w:sz w:val="16"/>
              </w:rPr>
              <w:t>Recovery, encryption, signed builds, offline suite, performance and accessibility.</w:t>
            </w:r>
          </w:p>
        </w:tc>
      </w:tr>
    </w:tbl>
    <w:p>
      <w:pPr>
        <w:pStyle w:val="Heading1"/>
      </w:pPr>
      <w:r>
        <w:t>25. Key decisions and non-decisions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2563EB"/>
            <w:vAlign w:val="center"/>
          </w:tcPr>
          <w:p>
            <w:r>
              <w:rPr>
                <w:b/>
                <w:color w:val="FFFFFF"/>
                <w:sz w:val="17"/>
              </w:rPr>
              <w:t>Decision</w:t>
            </w:r>
          </w:p>
        </w:tc>
        <w:tc>
          <w:tcPr>
            <w:tcW w:type="dxa" w:w="5040"/>
            <w:shd w:fill="2563EB"/>
            <w:vAlign w:val="center"/>
          </w:tcPr>
          <w:p>
            <w:r>
              <w:rPr>
                <w:b/>
                <w:color w:val="FFFFFF"/>
                <w:sz w:val="17"/>
              </w:rPr>
              <w:t>Rationale</w:t>
            </w:r>
          </w:p>
        </w:tc>
      </w:tr>
      <w:tr>
        <w:tc>
          <w:tcPr>
            <w:tcW w:type="dxa" w:w="5040"/>
            <w:vAlign w:val="top"/>
          </w:tcPr>
          <w:p>
            <w:r>
              <w:rPr>
                <w:sz w:val="16"/>
              </w:rPr>
              <w:t>Tauri 2 shell</w:t>
            </w:r>
          </w:p>
        </w:tc>
        <w:tc>
          <w:tcPr>
            <w:tcW w:type="dxa" w:w="5040"/>
            <w:vAlign w:val="top"/>
          </w:tcPr>
          <w:p>
            <w:r>
              <w:rPr>
                <w:sz w:val="16"/>
              </w:rPr>
              <w:t>Small native footprint and strong Rust boundary, while retaining modern web UX.</w:t>
            </w:r>
          </w:p>
        </w:tc>
      </w:tr>
      <w:tr>
        <w:tc>
          <w:tcPr>
            <w:tcW w:type="dxa" w:w="5040"/>
            <w:vAlign w:val="top"/>
          </w:tcPr>
          <w:p>
            <w:r>
              <w:rPr>
                <w:sz w:val="16"/>
              </w:rPr>
              <w:t>Native OS capture adapters</w:t>
            </w:r>
          </w:p>
        </w:tc>
        <w:tc>
          <w:tcPr>
            <w:tcW w:type="dxa" w:w="5040"/>
            <w:vAlign w:val="top"/>
          </w:tcPr>
          <w:p>
            <w:r>
              <w:rPr>
                <w:sz w:val="16"/>
              </w:rPr>
              <w:t>Per-application capture is not consistently exposed by one cross-platform API.</w:t>
            </w:r>
          </w:p>
        </w:tc>
      </w:tr>
      <w:tr>
        <w:tc>
          <w:tcPr>
            <w:tcW w:type="dxa" w:w="5040"/>
            <w:vAlign w:val="top"/>
          </w:tcPr>
          <w:p>
            <w:r>
              <w:rPr>
                <w:sz w:val="16"/>
              </w:rPr>
              <w:t>Rust owns media and state</w:t>
            </w:r>
          </w:p>
        </w:tc>
        <w:tc>
          <w:tcPr>
            <w:tcW w:type="dxa" w:w="5040"/>
            <w:vAlign w:val="top"/>
          </w:tcPr>
          <w:p>
            <w:r>
              <w:rPr>
                <w:sz w:val="16"/>
              </w:rPr>
              <w:t>Predictable memory, concurrency and recovery; prevents WebView dependency.</w:t>
            </w:r>
          </w:p>
        </w:tc>
      </w:tr>
      <w:tr>
        <w:tc>
          <w:tcPr>
            <w:tcW w:type="dxa" w:w="5040"/>
            <w:vAlign w:val="top"/>
          </w:tcPr>
          <w:p>
            <w:r>
              <w:rPr>
                <w:sz w:val="16"/>
              </w:rPr>
              <w:t>whisper.cpp + llama.cpp baseline</w:t>
            </w:r>
          </w:p>
        </w:tc>
        <w:tc>
          <w:tcPr>
            <w:tcW w:type="dxa" w:w="5040"/>
            <w:vAlign w:val="top"/>
          </w:tcPr>
          <w:p>
            <w:r>
              <w:rPr>
                <w:sz w:val="16"/>
              </w:rPr>
              <w:t>Portable local inference with common model packaging.</w:t>
            </w:r>
          </w:p>
        </w:tc>
      </w:tr>
      <w:tr>
        <w:tc>
          <w:tcPr>
            <w:tcW w:type="dxa" w:w="5040"/>
            <w:vAlign w:val="top"/>
          </w:tcPr>
          <w:p>
            <w:r>
              <w:rPr>
                <w:sz w:val="16"/>
              </w:rPr>
              <w:t>Two-pass transcription</w:t>
            </w:r>
          </w:p>
        </w:tc>
        <w:tc>
          <w:tcPr>
            <w:tcW w:type="dxa" w:w="5040"/>
            <w:vAlign w:val="top"/>
          </w:tcPr>
          <w:p>
            <w:r>
              <w:rPr>
                <w:sz w:val="16"/>
              </w:rPr>
              <w:t>Balances live responsiveness and final quality.</w:t>
            </w:r>
          </w:p>
        </w:tc>
      </w:tr>
      <w:tr>
        <w:tc>
          <w:tcPr>
            <w:tcW w:type="dxa" w:w="5040"/>
            <w:vAlign w:val="top"/>
          </w:tcPr>
          <w:p>
            <w:r>
              <w:rPr>
                <w:sz w:val="16"/>
              </w:rPr>
              <w:t>Optional audio retention</w:t>
            </w:r>
          </w:p>
        </w:tc>
        <w:tc>
          <w:tcPr>
            <w:tcW w:type="dxa" w:w="5040"/>
            <w:vAlign w:val="top"/>
          </w:tcPr>
          <w:p>
            <w:r>
              <w:rPr>
                <w:sz w:val="16"/>
              </w:rPr>
              <w:t>Privacy by default while enabling reprocessing when users choose it.</w:t>
            </w:r>
          </w:p>
        </w:tc>
      </w:tr>
      <w:tr>
        <w:tc>
          <w:tcPr>
            <w:tcW w:type="dxa" w:w="5040"/>
            <w:vAlign w:val="top"/>
          </w:tcPr>
          <w:p>
            <w:r>
              <w:rPr>
                <w:sz w:val="16"/>
              </w:rPr>
              <w:t>No mandatory account</w:t>
            </w:r>
          </w:p>
        </w:tc>
        <w:tc>
          <w:tcPr>
            <w:tcW w:type="dxa" w:w="5040"/>
            <w:vAlign w:val="top"/>
          </w:tcPr>
          <w:p>
            <w:r>
              <w:rPr>
                <w:sz w:val="16"/>
              </w:rPr>
              <w:t>Fully local operation and simpler trust model.</w:t>
            </w:r>
          </w:p>
        </w:tc>
      </w:tr>
      <w:tr>
        <w:tc>
          <w:tcPr>
            <w:tcW w:type="dxa" w:w="5040"/>
            <w:vAlign w:val="top"/>
          </w:tcPr>
          <w:p>
            <w:r>
              <w:rPr>
                <w:sz w:val="16"/>
              </w:rPr>
              <w:t>No browser extension initially</w:t>
            </w:r>
          </w:p>
        </w:tc>
        <w:tc>
          <w:tcPr>
            <w:tcW w:type="dxa" w:w="5040"/>
            <w:vAlign w:val="top"/>
          </w:tcPr>
          <w:p>
            <w:r>
              <w:rPr>
                <w:sz w:val="16"/>
              </w:rPr>
              <w:t>Application-level browser capture is sufficient for scope; exact tab isolation is a separate feature.</w:t>
            </w:r>
          </w:p>
        </w:tc>
      </w:tr>
    </w:tbl>
    <w:p>
      <w:pPr>
        <w:pStyle w:val="Heading1"/>
      </w:pPr>
      <w:r>
        <w:t>26. References</w:t>
      </w:r>
    </w:p>
    <w:p>
      <w:pPr>
        <w:pStyle w:val="SmallNote"/>
      </w:pPr>
      <w:r>
        <w:t>Tauri Architecture and message-passing model — Tauri official documentation</w:t>
      </w:r>
    </w:p>
    <w:p>
      <w:pPr>
        <w:pStyle w:val="SmallNote"/>
      </w:pPr>
      <w:r>
        <w:t>Tauri Capabilities and Permissions — Tauri official documentation</w:t>
      </w:r>
    </w:p>
    <w:p>
      <w:pPr>
        <w:pStyle w:val="SmallNote"/>
      </w:pPr>
      <w:r>
        <w:t>Tauri Sidecars — Tauri official documentation</w:t>
      </w:r>
    </w:p>
    <w:p>
      <w:pPr>
        <w:pStyle w:val="SmallNote"/>
      </w:pPr>
      <w:r>
        <w:t>ScreenCaptureKit, SCShareableContent, SCContentFilter and SCStream — Apple Developer Documentation</w:t>
      </w:r>
    </w:p>
    <w:p>
      <w:pPr>
        <w:pStyle w:val="SmallNote"/>
      </w:pPr>
      <w:r>
        <w:t>Meet ScreenCaptureKit and application-level audio filtering — Apple WWDC22</w:t>
      </w:r>
    </w:p>
    <w:p>
      <w:pPr>
        <w:pStyle w:val="SmallNote"/>
      </w:pPr>
      <w:r>
        <w:t>Application loopback audio capture sample — Microsoft Learn</w:t>
      </w:r>
    </w:p>
    <w:p>
      <w:pPr>
        <w:pStyle w:val="SmallNote"/>
      </w:pPr>
      <w:r>
        <w:t>WASAPI loopback recording — Microsoft Learn</w:t>
      </w:r>
    </w:p>
    <w:p>
      <w:pPr>
        <w:pStyle w:val="SmallNote"/>
      </w:pPr>
      <w:r>
        <w:t>PipeWire architecture, streams, properties and audio capture example — PipeWire official documentation</w:t>
      </w:r>
    </w:p>
    <w:p>
      <w:pPr>
        <w:pStyle w:val="SmallNote"/>
      </w:pPr>
      <w:r>
        <w:t>whisper.cpp — ggml-org official GitHub repository</w:t>
      </w:r>
    </w:p>
    <w:p>
      <w:pPr>
        <w:pStyle w:val="SmallNote"/>
      </w:pPr>
      <w:r>
        <w:t>llama.cpp — ggml-org official GitHub repository</w:t>
      </w:r>
    </w:p>
    <w:p>
      <w:pPr>
        <w:pStyle w:val="SmallNote"/>
      </w:pPr>
      <w:r>
        <w:t>Qwen3 model family — Qwen official repository and model cards</w:t>
      </w:r>
    </w:p>
    <w:p>
      <w:pPr>
        <w:pStyle w:val="SmallNote"/>
      </w:pPr>
      <w:r>
        <w:t>Phi-4-mini-instruct — Microsoft official model card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Architecture Specification  |  Confidential design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pPr>
    <w:rPr>
      <w:rFonts w:ascii="Liberation Mono" w:hAnsi="Liberation Mono"/>
      <w:color w:val="0F172A"/>
      <w:sz w:val="16"/>
    </w:rPr>
  </w:style>
  <w:style w:type="paragraph" w:customStyle="1" w:styleId="SmallNote">
    <w:name w:val="SmallNote"/>
    <w:rPr>
      <w:rFonts w:ascii="Aptos" w:hAnsi="Aptos"/>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