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keepNext/>
        <w:framePr w:dropCap="drop" w:lines="3" w:wrap="around" w:hAnchor="text" w:vAnchor="text" w:xAlign="left" w:yAlign="top" w:hSpace="90" w:vSpace="0"/>
      </w:pPr>
      <w:r>
        <w:rPr>
          <w:sz w:val="117"/>
        </w:rPr>
        <w:t>D</w:t>
      </w:r>
    </w:p>
    <w:p>
      <w:r>
        <w:t>Drop-cap body text must begin beside the full initial, continue without clipping it, and return to the full measure after the initial ends. Drop-cap body text must begin beside the full initial, continue without clipping it, and return to the full measure after the initial ends. Drop-cap body text must begin beside the full initial, continue without clipping it, and return to the full measure after the initial ends. </w:t>
      </w:r>
    </w:p>
    <w:p>
      <w:r>
        <w:drawing>
          <wp:anchor behindDoc="0" relativeHeight="1" simplePos="0" distT="0" distB="0" distL="0" distR="91440">
            <wp:simplePos x="0" y="0"/>
            <wp:positionH relativeFrom="margin">
              <wp:align>left</wp:align>
            </wp:positionH>
            <wp:positionV relativeFrom="paragraph">
              <wp:posOffset>0</wp:posOffset>
            </wp:positionV>
            <wp:extent cx="1600200" cy="2000250"/>
            <wp:wrapSquare wrapText="bothSides"/>
            <wp:docPr id="1" name="Visual containment float" descr="Generated visual containment fixture"/>
            <a:graphic>
              <a:graphicData uri="http://schemas.openxmlformats.org/drawingml/2006/picture">
                <pic:pic>
                  <pic:nvPicPr>
                    <pic:cNvPr id="1" name="visual-float.png"/>
                    <pic:cNvPicPr/>
                  </pic:nvPicPr>
                  <pic:blipFill>
                    <a:blip r:embed="rIdVisualFloat"/>
                    <a:stretch>
                      <a:fillRect/>
                    </a:stretch>
                  </pic:blipFill>
                  <pic:spPr>
                    <a:xfrm>
                      <a:off x="0" y="0"/>
                      <a:ext cx="1600200" cy="2000250"/>
                    </a:xfrm>
                    <a:prstGeom prst="rect">
                      <a:avLst/>
                    </a:prstGeom>
                  </pic:spPr>
                </pic:pic>
              </a:graphicData>
            </a:graphic>
          </wp:anchor>
        </w:drawing>
      </w:r>
      <w:r>
        <w:t>This paragraph starts beside a tall left-anchored picture. Every line whose vertical band crosses that picture must use the narrowed measure. </w:t>
      </w:r>
    </w:p>
    <w:p>
      <w:r>
        <w:t>This following paragraph is intentionally still inside the picture band, so page-level exclusion must continue across the paragraph boundary before restoring the full measure below it. This following paragraph is intentionally still inside the picture band, so page-level exclusion must continue across the paragraph boundary before restoring the full measure below it. This following paragraph is intentionally still inside the picture band, so page-level exclusion must continue across the paragraph boundary before restoring the full measure below it. </w:t>
      </w:r>
    </w:p>
    <w:tbl>
      <w:tblPr>
        <w:tblW w:w="5000" w:type="pct"/>
        <w:tblBorders>
          <w:top w:val="single" w:sz="8" w:color="000000"/>
          <w:left w:val="single" w:sz="8" w:color="000000"/>
          <w:bottom w:val="single" w:sz="8" w:color="000000"/>
          <w:right w:val="single" w:sz="8" w:color="000000"/>
          <w:insideH w:val="single" w:sz="8" w:color="000000"/>
        </w:tblBorders>
        <w:tblCellMar>
          <w:top w:w="120" w:type="dxa"/>
          <w:left w:w="120" w:type="dxa"/>
          <w:bottom w:w="120" w:type="dxa"/>
          <w:right w:w="120" w:type="dxa"/>
        </w:tblCellMar>
      </w:tblPr>
      <w:tblGrid>
        <w:gridCol w:w="6000"/>
      </w:tblGrid>
      <w:tr>
        <w:tc>
          <w:tcPr>
            <w:tcW w:w="6000" w:type="dxa"/>
          </w:tcPr>
          <w:p>
            <w:r>
              <w:t>The first table row is deliberately long enough to split over page boundaries. Its cell content must remain inside each emitted row fragment and must never paint over either successor row. The first table row is deliberately long enough to split over page boundaries. Its cell content must remain inside each emitted row fragment and must never paint over either successor row. The first table row is deliberately long enough to split over page boundaries. Its cell content must remain inside each emitted row fragment and must never paint over either successor row. The first table row is deliberately long enough to split over page boundaries. Its cell content must remain inside each emitted row fragment and must never paint over either successor row. The first table row is deliberately long enough to split over page boundaries. Its cell content must remain inside each emitted row fragment and must never paint over either successor row. The first table row is deliberately long enough to split over page boundaries. Its cell content must remain inside each emitted row fragment and must never paint over either successor row. The first table row is deliberately long enough to split over page boundaries. Its cell content must remain inside each emitted row fragment and must never paint over either successor row. The first table row is deliberately long enough to split over page boundaries. Its cell content must remain inside each emitted row fragment and must never paint over either successor row. The first table row is deliberately long enough to split over page boundaries. Its cell content must remain inside each emitted row fragment and must never paint over either successor row. The first table row is deliberately long enough to split over page boundaries. Its cell content must remain inside each emitted row fragment and must never paint over either successor row. The first table row is deliberately long enough to split over page boundaries. Its cell content must remain inside each emitted row fragment and must never paint over either successor row. The first table row is deliberately long enough to split over page boundaries. Its cell content must remain inside each emitted row fragment and must never paint over either successor row. The first table row is deliberately long enough to split over page boundaries. Its cell content must remain inside each emitted row fragment and must never paint over either successor row. The first table row is deliberately long enough to split over page boundaries. Its cell content must remain inside each emitted row fragment and must never paint over either successor row. The first table row is deliberately long enough to split over page boundaries. Its cell content must remain inside each emitted row fragment and must never paint over either successor row. The first table row is deliberately long enough to split over page boundaries. Its cell content must remain inside each emitted row fragment and must never paint over either successor row. The first table row is deliberately long enough to split over page boundaries. Its cell content must remain inside each emitted row fragment and must never paint over either successor row. The first table row is deliberately long enough to split over page boundaries. Its cell content must remain inside each emitted row fragment and must never paint over either successor row. </w:t>
            </w:r>
          </w:p>
        </w:tc>
      </w:tr>
      <w:tr>
        <w:tc>
          <w:tcPr>
            <w:tcW w:w="6000" w:type="dxa"/>
            <w:shd w:val="clear" w:fill="DDEEFF"/>
          </w:tcPr>
          <w:p>
            <w:r>
              <w:rPr>
                <w:b/>
              </w:rPr>
              <w:t>SUCCESSOR ROW ONE</w:t>
            </w:r>
          </w:p>
        </w:tc>
      </w:tr>
      <w:tr>
        <w:tc>
          <w:tcPr>
            <w:tcW w:w="6000" w:type="dxa"/>
            <w:shd w:val="clear" w:fill="FFEEDD"/>
          </w:tcPr>
          <w:p>
            <w:r>
              <w:rPr>
                <w:b/>
              </w:rPr>
              <w:t>SUCCESSOR ROW TWO</w:t>
            </w:r>
          </w:p>
        </w:tc>
      </w:tr>
    </w:tbl>
    <w:sectPr>
      <w:pgSz w:w="7200" w:h="7200"/>
      <w:pgMar w:top="600" w:right="600" w:bottom="600" w:left="600" w:header="300" w:footer="300"/>
    </w:sectPr>
  </w:body>
</w:document>
</file>

<file path=word/_rels/document.xml.rels><?xml version="1.0" encoding="UTF-8" standalone="yes"?><Relationships xmlns="http://schemas.openxmlformats.org/package/2006/relationships"><Relationship Id="rIdVisualFloat" Type="http://schemas.openxmlformats.org/officeDocument/2006/relationships/image" Target="media/visual-float.png"/></Relationships>
</file>