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none"/>
              <w:bottom w:val="none"/>
              <w:right w:val="none"/>
            </w:tcBorders>
            <w:shd w:fill="001B44" w:val="clear"/>
            <w:tcMar>
              <w:top w:type="dxa" w:w="300"/>
              <w:left w:type="dxa" w:w="400"/>
              <w:bottom w:type="dxa" w:w="300"/>
              <w:right w:type="dxa" w:w="400"/>
            </w:tcMar>
          </w:tcPr>
          <w:p>
            <w:pPr>
              <w:jc w:val="center"/>
            </w:pPr>
            <w:r>
              <w:rPr>
                <w:rFonts w:ascii="Montserrat" w:cs="Montserrat" w:eastAsia="Montserrat" w:hAnsi="Montserrat"/>
                <w:b/>
                <w:bCs/>
                <w:color w:val="D4A017"/>
                <w:spacing w:val="150"/>
                <w:sz w:val="52"/>
                <w:szCs w:val="52"/>
              </w:rPr>
              <w:t xml:space="preserve">APRN</w:t>
            </w:r>
          </w:p>
          <w:p>
            <w:pPr>
              <w:jc w:val="center"/>
            </w:pPr>
            <w:r>
              <w:rPr>
                <w:rFonts w:ascii="Montserrat" w:cs="Montserrat" w:eastAsia="Montserrat" w:hAnsi="Montserrat"/>
                <w:color w:val="FFFFFF"/>
                <w:spacing w:val="80"/>
                <w:sz w:val="17"/>
                <w:szCs w:val="17"/>
              </w:rPr>
              <w:t xml:space="preserve">AFRICAN PIPELINE RESOURCE NETWORK</w:t>
            </w:r>
          </w:p>
          <w:p>
            <w:pPr>
              <w:spacing w:before="60"/>
              <w:jc w:val="center"/>
            </w:pPr>
            <w:r>
              <w:rPr>
                <w:rFonts w:ascii="Montserrat" w:cs="Montserrat" w:eastAsia="Montserrat" w:hAnsi="Montserrat"/>
                <w:i/>
                <w:iCs/>
                <w:color w:val="D4A017"/>
                <w:sz w:val="18"/>
                <w:szCs w:val="18"/>
              </w:rPr>
              <w:t xml:space="preserve">Research Briefing — Industry &amp; Policy Questions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none"/>
              <w:bottom w:val="none"/>
              <w:right w:val="none"/>
            </w:tcBorders>
            <w:shd w:fill="D4A017" w:val="clear"/>
            <w:tcMar>
              <w:top w:type="dxa" w:w="0"/>
              <w:left w:type="dxa" w:w="0"/>
              <w:bottom w:type="dxa" w:w="0"/>
              <w:right w:type="dxa" w:w="0"/>
            </w:tcMar>
          </w:tcPr>
          <w:p>
            <w:r>
              <w:rPr>
                <w:sz w:val="4"/>
                <w:szCs w:val="4"/>
              </w:rPr>
              <w:t xml:space="preserve"> </w:t>
            </w:r>
          </w:p>
        </w:tc>
      </w:tr>
    </w:tbl>
    <w:p>
      <w:pPr>
        <w:spacing w:after="0" w:before="200"/>
      </w:pPr>
      <w:r>
        <w:t xml:space="preserve"/>
      </w:r>
    </w:p>
    <w:p>
      <w:pPr>
        <w:jc w:val="center"/>
      </w:pPr>
      <w:r>
        <w:rPr>
          <w:rFonts w:ascii="Montserrat" w:cs="Montserrat" w:eastAsia="Montserrat" w:hAnsi="Montserrat"/>
          <w:color w:val="888888"/>
          <w:sz w:val="19"/>
          <w:szCs w:val="19"/>
        </w:rPr>
        <w:t xml:space="preserve">Prepared by: Joseph Agwuh — Head, Technology &amp; Innovation, APRN</w:t>
      </w:r>
    </w:p>
    <w:p>
      <w:pPr>
        <w:spacing w:before="40"/>
        <w:jc w:val="center"/>
      </w:pPr>
      <w:r>
        <w:rPr>
          <w:rFonts w:ascii="Montserrat" w:cs="Montserrat" w:eastAsia="Montserrat" w:hAnsi="Montserrat"/>
          <w:color w:val="AAAAAA"/>
          <w:sz w:val="17"/>
          <w:szCs w:val="17"/>
        </w:rPr>
        <w:t xml:space="preserve">Date: June 2026  ·  aprn-africa.org  ·  info@aprn-africa.org</w:t>
      </w:r>
    </w:p>
    <w:p>
      <w:pPr>
        <w:spacing w:after="0" w:before="300"/>
      </w:pPr>
      <w:r>
        <w:t xml:space="preserve"/>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001B44" w:val="clear"/>
            <w:tcMar>
              <w:top w:type="dxa" w:w="120"/>
              <w:left w:type="dxa" w:w="140"/>
              <w:bottom w:type="dxa" w:w="120"/>
              <w:right w:type="dxa" w:w="140"/>
            </w:tcMar>
          </w:tcPr>
          <w:p>
            <w:pPr>
              <w:jc w:val="center"/>
            </w:pPr>
            <w:r>
              <w:rPr>
                <w:rFonts w:ascii="Montserrat" w:cs="Montserrat" w:eastAsia="Montserrat" w:hAnsi="Montserrat"/>
                <w:b/>
                <w:bCs/>
                <w:color w:val="D4A017"/>
                <w:sz w:val="28"/>
                <w:szCs w:val="28"/>
              </w:rPr>
              <w:t xml:space="preserve">01</w:t>
            </w:r>
          </w:p>
        </w:tc>
        <w:tc>
          <w:tcPr>
            <w:tcW w:type="dxa" w:w="8760"/>
            <w:tcBorders>
              <w:top w:val="none"/>
              <w:left w:val="none"/>
              <w:bottom w:val="none"/>
              <w:right w:val="none"/>
            </w:tcBorders>
            <w:shd w:fill="001B44" w:val="clear"/>
            <w:tcMar>
              <w:top w:type="dxa" w:w="120"/>
              <w:left w:type="dxa" w:w="160"/>
              <w:bottom w:type="dxa" w:w="120"/>
              <w:right w:type="dxa" w:w="140"/>
            </w:tcMar>
          </w:tcPr>
          <w:p>
            <w:r>
              <w:rPr>
                <w:rFonts w:ascii="Montserrat" w:cs="Montserrat" w:eastAsia="Montserrat" w:hAnsi="Montserrat"/>
                <w:b/>
                <w:bCs/>
                <w:color w:val="FFFFFF"/>
                <w:sz w:val="22"/>
                <w:szCs w:val="22"/>
              </w:rPr>
              <w:t xml:space="preserve">Source of Funding for NMDPRA</w:t>
            </w:r>
          </w:p>
        </w:tc>
      </w:tr>
    </w:tbl>
    <w:p>
      <w:pPr>
        <w:spacing w:after="0" w:before="120"/>
      </w:pPr>
      <w:r>
        <w:t xml:space="preserve"/>
      </w:r>
    </w:p>
    <w:p>
      <w:pPr>
        <w:spacing w:after="0" w:before="80" w:line="320" w:lineRule="auto"/>
      </w:pPr>
      <w:r>
        <w:rPr>
          <w:rFonts w:ascii="Montserrat" w:cs="Montserrat" w:eastAsia="Montserrat" w:hAnsi="Montserrat"/>
          <w:color w:val="4A5568"/>
          <w:sz w:val="21"/>
          <w:szCs w:val="21"/>
        </w:rPr>
        <w:t xml:space="preserve">The Nigerian Midstream and Downstream Petroleum Regulatory Authority (NMDPRA) is funded through the following sources under the Petroleum Industry Act 2021:</w:t>
      </w:r>
    </w:p>
    <w:p>
      <w:pPr>
        <w:spacing w:after="0" w:before="80"/>
      </w:pPr>
      <w:r>
        <w:t xml:space="preserve"/>
      </w:r>
    </w:p>
    <w:p>
      <w:pPr>
        <w:pStyle w:val="ListParagraph"/>
        <w:numPr>
          <w:ilvl w:val="0"/>
          <w:numId w:val="2"/>
        </w:numPr>
        <w:spacing w:after="0" w:before="80" w:line="300" w:lineRule="auto"/>
      </w:pPr>
      <w:r>
        <w:rPr>
          <w:rFonts w:ascii="Montserrat" w:cs="Montserrat" w:eastAsia="Montserrat" w:hAnsi="Montserrat"/>
          <w:color w:val="4A5568"/>
          <w:sz w:val="21"/>
          <w:szCs w:val="21"/>
        </w:rPr>
        <w:t xml:space="preserve">Regulatory levies and fees charged on midstream and downstream petroleum operators and licence holders</w:t>
      </w:r>
    </w:p>
    <w:p>
      <w:pPr>
        <w:pStyle w:val="ListParagraph"/>
        <w:numPr>
          <w:ilvl w:val="0"/>
          <w:numId w:val="2"/>
        </w:numPr>
        <w:spacing w:after="0" w:before="80" w:line="300" w:lineRule="auto"/>
      </w:pPr>
      <w:r>
        <w:rPr>
          <w:rFonts w:ascii="Montserrat" w:cs="Montserrat" w:eastAsia="Montserrat" w:hAnsi="Montserrat"/>
          <w:color w:val="4A5568"/>
          <w:sz w:val="21"/>
          <w:szCs w:val="21"/>
        </w:rPr>
        <w:t xml:space="preserve">Licensing and permit fees from companies operating refineries, pipelines, and gas facilities</w:t>
      </w:r>
    </w:p>
    <w:p>
      <w:pPr>
        <w:pStyle w:val="ListParagraph"/>
        <w:numPr>
          <w:ilvl w:val="0"/>
          <w:numId w:val="2"/>
        </w:numPr>
        <w:spacing w:after="0" w:before="80" w:line="300" w:lineRule="auto"/>
      </w:pPr>
      <w:r>
        <w:rPr>
          <w:rFonts w:ascii="Montserrat" w:cs="Montserrat" w:eastAsia="Montserrat" w:hAnsi="Montserrat"/>
          <w:color w:val="4A5568"/>
          <w:sz w:val="21"/>
          <w:szCs w:val="21"/>
        </w:rPr>
        <w:t xml:space="preserve">Annual budgetary allocation from the Federal Government of Nigeria</w:t>
      </w:r>
    </w:p>
    <w:p>
      <w:pPr>
        <w:pStyle w:val="ListParagraph"/>
        <w:numPr>
          <w:ilvl w:val="0"/>
          <w:numId w:val="2"/>
        </w:numPr>
        <w:spacing w:after="0" w:before="80" w:line="300" w:lineRule="auto"/>
      </w:pPr>
      <w:r>
        <w:rPr>
          <w:rFonts w:ascii="Montserrat" w:cs="Montserrat" w:eastAsia="Montserrat" w:hAnsi="Montserrat"/>
          <w:color w:val="4A5568"/>
          <w:sz w:val="21"/>
          <w:szCs w:val="21"/>
        </w:rPr>
        <w:t xml:space="preserve">Penalties and fines collected from regulatory enforcement actions against non-compliant operators</w:t>
      </w:r>
    </w:p>
    <w:p>
      <w:pPr>
        <w:pStyle w:val="ListParagraph"/>
        <w:numPr>
          <w:ilvl w:val="0"/>
          <w:numId w:val="2"/>
        </w:numPr>
        <w:spacing w:after="0" w:before="80" w:line="300" w:lineRule="auto"/>
      </w:pPr>
      <w:r>
        <w:rPr>
          <w:rFonts w:ascii="Montserrat" w:cs="Montserrat" w:eastAsia="Montserrat" w:hAnsi="Montserrat"/>
          <w:color w:val="4A5568"/>
          <w:sz w:val="21"/>
          <w:szCs w:val="21"/>
        </w:rPr>
        <w:t xml:space="preserve">Revenue from technical services and regulatory certifications</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001B44" w:val="clear"/>
            <w:tcMar>
              <w:top w:type="dxa" w:w="120"/>
              <w:left w:type="dxa" w:w="140"/>
              <w:bottom w:type="dxa" w:w="120"/>
              <w:right w:type="dxa" w:w="140"/>
            </w:tcMar>
          </w:tcPr>
          <w:p>
            <w:pPr>
              <w:jc w:val="center"/>
            </w:pPr>
            <w:r>
              <w:rPr>
                <w:rFonts w:ascii="Montserrat" w:cs="Montserrat" w:eastAsia="Montserrat" w:hAnsi="Montserrat"/>
                <w:b/>
                <w:bCs/>
                <w:color w:val="D4A017"/>
                <w:sz w:val="28"/>
                <w:szCs w:val="28"/>
              </w:rPr>
              <w:t xml:space="preserve">02</w:t>
            </w:r>
          </w:p>
        </w:tc>
        <w:tc>
          <w:tcPr>
            <w:tcW w:type="dxa" w:w="8760"/>
            <w:tcBorders>
              <w:top w:val="none"/>
              <w:left w:val="none"/>
              <w:bottom w:val="none"/>
              <w:right w:val="none"/>
            </w:tcBorders>
            <w:shd w:fill="001B44" w:val="clear"/>
            <w:tcMar>
              <w:top w:type="dxa" w:w="120"/>
              <w:left w:type="dxa" w:w="160"/>
              <w:bottom w:type="dxa" w:w="120"/>
              <w:right w:type="dxa" w:w="140"/>
            </w:tcMar>
          </w:tcPr>
          <w:p>
            <w:r>
              <w:rPr>
                <w:rFonts w:ascii="Montserrat" w:cs="Montserrat" w:eastAsia="Montserrat" w:hAnsi="Montserrat"/>
                <w:b/>
                <w:bCs/>
                <w:color w:val="FFFFFF"/>
                <w:sz w:val="22"/>
                <w:szCs w:val="22"/>
              </w:rPr>
              <w:t xml:space="preserve">Board Representation for NMDPRA</w:t>
            </w:r>
          </w:p>
        </w:tc>
      </w:tr>
    </w:tbl>
    <w:p>
      <w:pPr>
        <w:spacing w:after="0" w:before="120"/>
      </w:pPr>
      <w:r>
        <w:t xml:space="preserve"/>
      </w:r>
    </w:p>
    <w:p>
      <w:pPr>
        <w:spacing w:after="0" w:before="80" w:line="320" w:lineRule="auto"/>
      </w:pPr>
      <w:r>
        <w:rPr>
          <w:rFonts w:ascii="Montserrat" w:cs="Montserrat" w:eastAsia="Montserrat" w:hAnsi="Montserrat"/>
          <w:color w:val="4A5568"/>
          <w:sz w:val="21"/>
          <w:szCs w:val="21"/>
        </w:rPr>
        <w:t xml:space="preserve">Under the Petroleum Industry Act 2021, the NMDPRA board structure is as follows:</w:t>
      </w:r>
    </w:p>
    <w:p>
      <w:pPr>
        <w:spacing w:after="0" w:before="80"/>
      </w:pPr>
      <w:r>
        <w:t xml:space="preserve"/>
      </w:r>
    </w:p>
    <w:p>
      <w:pPr>
        <w:pStyle w:val="ListParagraph"/>
        <w:numPr>
          <w:ilvl w:val="0"/>
          <w:numId w:val="2"/>
        </w:numPr>
        <w:spacing w:after="0" w:before="80" w:line="300" w:lineRule="auto"/>
      </w:pPr>
      <w:r>
        <w:rPr>
          <w:rFonts w:ascii="Montserrat" w:cs="Montserrat" w:eastAsia="Montserrat" w:hAnsi="Montserrat"/>
          <w:color w:val="4A5568"/>
          <w:sz w:val="21"/>
          <w:szCs w:val="21"/>
        </w:rPr>
        <w:t xml:space="preserve">Authority Chief Executive (CEO) — Currently Engr. Saidu Aliyu Mohammed (confirmed January 2026 by President Tinubu). A new appointment — Rabiu Abdullahi Umar — was reported in May 2026.</w:t>
      </w:r>
    </w:p>
    <w:p>
      <w:pPr>
        <w:pStyle w:val="ListParagraph"/>
        <w:numPr>
          <w:ilvl w:val="0"/>
          <w:numId w:val="2"/>
        </w:numPr>
        <w:spacing w:after="0" w:before="80" w:line="300" w:lineRule="auto"/>
      </w:pPr>
      <w:r>
        <w:rPr>
          <w:rFonts w:ascii="Montserrat" w:cs="Montserrat" w:eastAsia="Montserrat" w:hAnsi="Montserrat"/>
          <w:color w:val="4A5568"/>
          <w:sz w:val="21"/>
          <w:szCs w:val="21"/>
        </w:rPr>
        <w:t xml:space="preserve">Executive Commissioners — covering technical regulation, commercial regulation, legal services, and finance</w:t>
      </w:r>
    </w:p>
    <w:p>
      <w:pPr>
        <w:pStyle w:val="ListParagraph"/>
        <w:numPr>
          <w:ilvl w:val="0"/>
          <w:numId w:val="2"/>
        </w:numPr>
        <w:spacing w:after="0" w:before="80" w:line="300" w:lineRule="auto"/>
      </w:pPr>
      <w:r>
        <w:rPr>
          <w:rFonts w:ascii="Montserrat" w:cs="Montserrat" w:eastAsia="Montserrat" w:hAnsi="Montserrat"/>
          <w:color w:val="4A5568"/>
          <w:sz w:val="21"/>
          <w:szCs w:val="21"/>
        </w:rPr>
        <w:t xml:space="preserve">Non-Executive Commissioners — nominated by the President of Nigeria and confirmed by the Senate, representing Nigeria's six geopolitical zones</w:t>
      </w:r>
    </w:p>
    <w:p>
      <w:pPr>
        <w:pStyle w:val="ListParagraph"/>
        <w:numPr>
          <w:ilvl w:val="0"/>
          <w:numId w:val="2"/>
        </w:numPr>
        <w:spacing w:after="0" w:before="80" w:line="300" w:lineRule="auto"/>
      </w:pPr>
      <w:r>
        <w:rPr>
          <w:rFonts w:ascii="Montserrat" w:cs="Montserrat" w:eastAsia="Montserrat" w:hAnsi="Montserrat"/>
          <w:color w:val="4A5568"/>
          <w:sz w:val="21"/>
          <w:szCs w:val="21"/>
        </w:rPr>
        <w:t xml:space="preserve">The Board is appointed by the President and subject to Senate confirmation, ensuring democratic oversight</w:t>
      </w:r>
    </w:p>
    <w:p>
      <w:pPr>
        <w:pStyle w:val="ListParagraph"/>
        <w:numPr>
          <w:ilvl w:val="0"/>
          <w:numId w:val="2"/>
        </w:numPr>
        <w:spacing w:after="0" w:before="80" w:line="300" w:lineRule="auto"/>
      </w:pPr>
      <w:r>
        <w:rPr>
          <w:rFonts w:ascii="Montserrat" w:cs="Montserrat" w:eastAsia="Montserrat" w:hAnsi="Montserrat"/>
          <w:color w:val="4A5568"/>
          <w:sz w:val="21"/>
          <w:szCs w:val="21"/>
        </w:rPr>
        <w:t xml:space="preserve">Industry stakeholder representation is included to ensure regulatory decisions reflect sector realities</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001B44" w:val="clear"/>
            <w:tcMar>
              <w:top w:type="dxa" w:w="120"/>
              <w:left w:type="dxa" w:w="140"/>
              <w:bottom w:type="dxa" w:w="120"/>
              <w:right w:type="dxa" w:w="140"/>
            </w:tcMar>
          </w:tcPr>
          <w:p>
            <w:pPr>
              <w:jc w:val="center"/>
            </w:pPr>
            <w:r>
              <w:rPr>
                <w:rFonts w:ascii="Montserrat" w:cs="Montserrat" w:eastAsia="Montserrat" w:hAnsi="Montserrat"/>
                <w:b/>
                <w:bCs/>
                <w:color w:val="D4A017"/>
                <w:sz w:val="28"/>
                <w:szCs w:val="28"/>
              </w:rPr>
              <w:t xml:space="preserve">03</w:t>
            </w:r>
          </w:p>
        </w:tc>
        <w:tc>
          <w:tcPr>
            <w:tcW w:type="dxa" w:w="8760"/>
            <w:tcBorders>
              <w:top w:val="none"/>
              <w:left w:val="none"/>
              <w:bottom w:val="none"/>
              <w:right w:val="none"/>
            </w:tcBorders>
            <w:shd w:fill="001B44" w:val="clear"/>
            <w:tcMar>
              <w:top w:type="dxa" w:w="120"/>
              <w:left w:type="dxa" w:w="160"/>
              <w:bottom w:type="dxa" w:w="120"/>
              <w:right w:type="dxa" w:w="140"/>
            </w:tcMar>
          </w:tcPr>
          <w:p>
            <w:r>
              <w:rPr>
                <w:rFonts w:ascii="Montserrat" w:cs="Montserrat" w:eastAsia="Montserrat" w:hAnsi="Montserrat"/>
                <w:b/>
                <w:bCs/>
                <w:color w:val="FFFFFF"/>
                <w:sz w:val="22"/>
                <w:szCs w:val="22"/>
              </w:rPr>
              <w:t xml:space="preserve">National Anthem of Nigeria</w:t>
            </w:r>
          </w:p>
        </w:tc>
      </w:tr>
    </w:tbl>
    <w:p>
      <w:pPr>
        <w:spacing w:after="0" w:before="120"/>
      </w:pPr>
      <w:r>
        <w:t xml:space="preserve"/>
      </w:r>
    </w:p>
    <w:p>
      <w:pPr>
        <w:spacing w:after="0" w:before="80" w:line="320" w:lineRule="auto"/>
      </w:pPr>
      <w:r>
        <w:rPr>
          <w:rFonts w:ascii="Montserrat" w:cs="Montserrat" w:eastAsia="Montserrat" w:hAnsi="Montserrat"/>
          <w:color w:val="4A5568"/>
          <w:sz w:val="21"/>
          <w:szCs w:val="21"/>
        </w:rPr>
        <w:t xml:space="preserve">Nigeria restored its First Republic anthem in 2024 under President Tinubu, replacing the previous post-independence anthem.</w:t>
      </w:r>
    </w:p>
    <w:p>
      <w:pPr>
        <w:spacing w:after="0" w:before="100"/>
      </w:pPr>
      <w:r>
        <w:t xml:space="preserve"/>
      </w:r>
    </w:p>
    <w:p>
      <w:pPr>
        <w:pBdr>
          <w:left w:val="single" w:color="D4A017" w:sz="8" w:space="10"/>
        </w:pBdr>
        <w:spacing w:after="0" w:before="80" w:line="340" w:lineRule="auto"/>
        <w:ind w:left="400"/>
      </w:pPr>
      <w:r>
        <w:rPr>
          <w:rFonts w:ascii="Montserrat" w:cs="Montserrat" w:eastAsia="Montserrat" w:hAnsi="Montserrat"/>
          <w:b/>
          <w:bCs/>
          <w:color w:val="001B44"/>
          <w:sz w:val="22"/>
          <w:szCs w:val="22"/>
        </w:rPr>
        <w:t xml:space="preserve">Nigeria We Hail Thee</w:t>
      </w:r>
      <w:r>
        <w:rPr>
          <w:rFonts w:ascii="Montserrat" w:cs="Montserrat" w:eastAsia="Montserrat" w:hAnsi="Montserrat"/>
          <w:color w:val="4A5568"/>
          <w:sz w:val="21"/>
          <w:szCs w:val="21"/>
        </w:rPr>
        <w:t xml:space="preserve">
Nigeria we hail thee,
Our own dear native land,
Though tribe and tongue may differ,
In brotherhood we stand,
Nigerians all, and proud to serve
Our sovereign Motherland.</w:t>
      </w:r>
    </w:p>
    <w:p>
      <w:pPr>
        <w:spacing w:after="0" w:before="80"/>
      </w:pPr>
      <w:r>
        <w:t xml:space="preserve"/>
      </w:r>
    </w:p>
    <w:p>
      <w:pPr>
        <w:spacing w:after="0" w:before="80" w:line="320" w:lineRule="auto"/>
      </w:pPr>
      <w:r>
        <w:rPr>
          <w:rFonts w:ascii="Montserrat" w:cs="Montserrat" w:eastAsia="Montserrat" w:hAnsi="Montserrat"/>
          <w:color w:val="4A5568"/>
          <w:sz w:val="21"/>
          <w:szCs w:val="21"/>
        </w:rPr>
        <w:t xml:space="preserve">Previous anthem (1978–2024): 'Arise O Compatriots, Nigeria's call obey...' — still widely known and may be referenced in formal contexts.</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001B44" w:val="clear"/>
            <w:tcMar>
              <w:top w:type="dxa" w:w="120"/>
              <w:left w:type="dxa" w:w="140"/>
              <w:bottom w:type="dxa" w:w="120"/>
              <w:right w:type="dxa" w:w="140"/>
            </w:tcMar>
          </w:tcPr>
          <w:p>
            <w:pPr>
              <w:jc w:val="center"/>
            </w:pPr>
            <w:r>
              <w:rPr>
                <w:rFonts w:ascii="Montserrat" w:cs="Montserrat" w:eastAsia="Montserrat" w:hAnsi="Montserrat"/>
                <w:b/>
                <w:bCs/>
                <w:color w:val="D4A017"/>
                <w:sz w:val="28"/>
                <w:szCs w:val="28"/>
              </w:rPr>
              <w:t xml:space="preserve">04</w:t>
            </w:r>
          </w:p>
        </w:tc>
        <w:tc>
          <w:tcPr>
            <w:tcW w:type="dxa" w:w="8760"/>
            <w:tcBorders>
              <w:top w:val="none"/>
              <w:left w:val="none"/>
              <w:bottom w:val="none"/>
              <w:right w:val="none"/>
            </w:tcBorders>
            <w:shd w:fill="001B44" w:val="clear"/>
            <w:tcMar>
              <w:top w:type="dxa" w:w="120"/>
              <w:left w:type="dxa" w:w="160"/>
              <w:bottom w:type="dxa" w:w="120"/>
              <w:right w:type="dxa" w:w="140"/>
            </w:tcMar>
          </w:tcPr>
          <w:p>
            <w:r>
              <w:rPr>
                <w:rFonts w:ascii="Montserrat" w:cs="Montserrat" w:eastAsia="Montserrat" w:hAnsi="Montserrat"/>
                <w:b/>
                <w:bCs/>
                <w:color w:val="FFFFFF"/>
                <w:sz w:val="22"/>
                <w:szCs w:val="22"/>
              </w:rPr>
              <w:t xml:space="preserve">Petroleum Industry Act (PIA) 2021</w:t>
            </w:r>
          </w:p>
        </w:tc>
      </w:tr>
    </w:tbl>
    <w:p>
      <w:pPr>
        <w:spacing w:after="0" w:before="120"/>
      </w:pPr>
      <w:r>
        <w:t xml:space="preserve"/>
      </w:r>
    </w:p>
    <w:p>
      <w:pPr>
        <w:spacing w:after="0" w:before="80" w:line="320" w:lineRule="auto"/>
      </w:pPr>
      <w:r>
        <w:rPr>
          <w:rFonts w:ascii="Montserrat" w:cs="Montserrat" w:eastAsia="Montserrat" w:hAnsi="Montserrat"/>
          <w:color w:val="4A5568"/>
          <w:sz w:val="21"/>
          <w:szCs w:val="21"/>
        </w:rPr>
        <w:t xml:space="preserve">The PIA 2021 is Nigeria's most significant energy sector legislation in over 20 years. Key provisions include:</w:t>
      </w:r>
    </w:p>
    <w:p>
      <w:pPr>
        <w:spacing w:after="0" w:before="80"/>
      </w:pPr>
      <w:r>
        <w:t xml:space="preserve"/>
      </w:r>
    </w:p>
    <w:p>
      <w:pPr>
        <w:pStyle w:val="ListParagraph"/>
        <w:numPr>
          <w:ilvl w:val="0"/>
          <w:numId w:val="2"/>
        </w:numPr>
        <w:spacing w:after="0" w:before="80" w:line="300" w:lineRule="auto"/>
      </w:pPr>
      <w:r>
        <w:rPr>
          <w:rFonts w:ascii="Montserrat" w:cs="Montserrat" w:eastAsia="Montserrat" w:hAnsi="Montserrat"/>
          <w:color w:val="4A5568"/>
          <w:sz w:val="21"/>
          <w:szCs w:val="21"/>
        </w:rPr>
        <w:t xml:space="preserve">Created NMDPRA (midstream/downstream regulator) and NUPRC (upstream regulator) — abolishing the old DPR, PPPRA, and PEFMB</w:t>
      </w:r>
    </w:p>
    <w:p>
      <w:pPr>
        <w:pStyle w:val="ListParagraph"/>
        <w:numPr>
          <w:ilvl w:val="0"/>
          <w:numId w:val="2"/>
        </w:numPr>
        <w:spacing w:after="0" w:before="80" w:line="300" w:lineRule="auto"/>
      </w:pPr>
      <w:r>
        <w:rPr>
          <w:rFonts w:ascii="Montserrat" w:cs="Montserrat" w:eastAsia="Montserrat" w:hAnsi="Montserrat"/>
          <w:color w:val="4A5568"/>
          <w:sz w:val="21"/>
          <w:szCs w:val="21"/>
        </w:rPr>
        <w:t xml:space="preserve">Commercialised NNPC into NNPC Limited — a fully commercial entity operating on profit basis</w:t>
      </w:r>
    </w:p>
    <w:p>
      <w:pPr>
        <w:pStyle w:val="ListParagraph"/>
        <w:numPr>
          <w:ilvl w:val="0"/>
          <w:numId w:val="2"/>
        </w:numPr>
        <w:spacing w:after="0" w:before="80" w:line="300" w:lineRule="auto"/>
      </w:pPr>
      <w:r>
        <w:rPr>
          <w:rFonts w:ascii="Montserrat" w:cs="Montserrat" w:eastAsia="Montserrat" w:hAnsi="Montserrat"/>
          <w:color w:val="4A5568"/>
          <w:sz w:val="21"/>
          <w:szCs w:val="21"/>
        </w:rPr>
        <w:t xml:space="preserve">Established the Midstream and Downstream Gas Infrastructure Fund (MDGIF) to finance gas projects</w:t>
      </w:r>
    </w:p>
    <w:p>
      <w:pPr>
        <w:pStyle w:val="ListParagraph"/>
        <w:numPr>
          <w:ilvl w:val="0"/>
          <w:numId w:val="2"/>
        </w:numPr>
        <w:spacing w:after="0" w:before="80" w:line="300" w:lineRule="auto"/>
      </w:pPr>
      <w:r>
        <w:rPr>
          <w:rFonts w:ascii="Montserrat" w:cs="Montserrat" w:eastAsia="Montserrat" w:hAnsi="Montserrat"/>
          <w:color w:val="4A5568"/>
          <w:sz w:val="21"/>
          <w:szCs w:val="21"/>
        </w:rPr>
        <w:t xml:space="preserve">Host Community Development Fund — 3% of operating expenditure mandated for host communities</w:t>
      </w:r>
    </w:p>
    <w:p>
      <w:pPr>
        <w:pStyle w:val="ListParagraph"/>
        <w:numPr>
          <w:ilvl w:val="0"/>
          <w:numId w:val="2"/>
        </w:numPr>
        <w:spacing w:after="0" w:before="80" w:line="300" w:lineRule="auto"/>
      </w:pPr>
      <w:r>
        <w:rPr>
          <w:rFonts w:ascii="Montserrat" w:cs="Montserrat" w:eastAsia="Montserrat" w:hAnsi="Montserrat"/>
          <w:color w:val="4A5568"/>
          <w:sz w:val="21"/>
          <w:szCs w:val="21"/>
        </w:rPr>
        <w:t xml:space="preserve">Local content provisions — strengthening the NCDMB mandate for Nigerian-first hiring</w:t>
      </w:r>
    </w:p>
    <w:p>
      <w:pPr>
        <w:pStyle w:val="ListParagraph"/>
        <w:numPr>
          <w:ilvl w:val="0"/>
          <w:numId w:val="2"/>
        </w:numPr>
        <w:spacing w:after="0" w:before="80" w:line="300" w:lineRule="auto"/>
      </w:pPr>
      <w:r>
        <w:rPr>
          <w:rFonts w:ascii="Montserrat" w:cs="Montserrat" w:eastAsia="Montserrat" w:hAnsi="Montserrat"/>
          <w:color w:val="4A5568"/>
          <w:sz w:val="21"/>
          <w:szCs w:val="21"/>
        </w:rPr>
        <w:t xml:space="preserve">Domestic Gas Supply Obligation — companies must supply gas domestically before exporting</w:t>
      </w:r>
    </w:p>
    <w:p>
      <w:pPr>
        <w:pStyle w:val="ListParagraph"/>
        <w:numPr>
          <w:ilvl w:val="0"/>
          <w:numId w:val="2"/>
        </w:numPr>
        <w:spacing w:after="0" w:before="80" w:line="300" w:lineRule="auto"/>
      </w:pPr>
      <w:r>
        <w:rPr>
          <w:rFonts w:ascii="Montserrat" w:cs="Montserrat" w:eastAsia="Montserrat" w:hAnsi="Montserrat"/>
          <w:color w:val="4A5568"/>
          <w:sz w:val="21"/>
          <w:szCs w:val="21"/>
        </w:rPr>
        <w:t xml:space="preserve">Fiscal incentives for gas development — targeting transition from gas flaring to gas monetisation</w:t>
      </w:r>
    </w:p>
    <w:p>
      <w:pPr>
        <w:pStyle w:val="ListParagraph"/>
        <w:numPr>
          <w:ilvl w:val="0"/>
          <w:numId w:val="2"/>
        </w:numPr>
        <w:spacing w:after="0" w:before="80" w:line="300" w:lineRule="auto"/>
      </w:pPr>
      <w:r>
        <w:rPr>
          <w:rFonts w:ascii="Montserrat" w:cs="Montserrat" w:eastAsia="Montserrat" w:hAnsi="Montserrat"/>
          <w:color w:val="4A5568"/>
          <w:sz w:val="21"/>
          <w:szCs w:val="21"/>
        </w:rPr>
        <w:t xml:space="preserve">Target: Grow Nigeria's gas production to 12 billion cubic feet per day by 2030</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001B44" w:val="clear"/>
            <w:tcMar>
              <w:top w:type="dxa" w:w="120"/>
              <w:left w:type="dxa" w:w="140"/>
              <w:bottom w:type="dxa" w:w="120"/>
              <w:right w:type="dxa" w:w="140"/>
            </w:tcMar>
          </w:tcPr>
          <w:p>
            <w:pPr>
              <w:jc w:val="center"/>
            </w:pPr>
            <w:r>
              <w:rPr>
                <w:rFonts w:ascii="Montserrat" w:cs="Montserrat" w:eastAsia="Montserrat" w:hAnsi="Montserrat"/>
                <w:b/>
                <w:bCs/>
                <w:color w:val="D4A017"/>
                <w:sz w:val="28"/>
                <w:szCs w:val="28"/>
              </w:rPr>
              <w:t xml:space="preserve">05</w:t>
            </w:r>
          </w:p>
        </w:tc>
        <w:tc>
          <w:tcPr>
            <w:tcW w:type="dxa" w:w="8760"/>
            <w:tcBorders>
              <w:top w:val="none"/>
              <w:left w:val="none"/>
              <w:bottom w:val="none"/>
              <w:right w:val="none"/>
            </w:tcBorders>
            <w:shd w:fill="001B44" w:val="clear"/>
            <w:tcMar>
              <w:top w:type="dxa" w:w="120"/>
              <w:left w:type="dxa" w:w="160"/>
              <w:bottom w:type="dxa" w:w="120"/>
              <w:right w:type="dxa" w:w="140"/>
            </w:tcMar>
          </w:tcPr>
          <w:p>
            <w:r>
              <w:rPr>
                <w:rFonts w:ascii="Montserrat" w:cs="Montserrat" w:eastAsia="Montserrat" w:hAnsi="Montserrat"/>
                <w:b/>
                <w:bCs/>
                <w:color w:val="FFFFFF"/>
                <w:sz w:val="22"/>
                <w:szCs w:val="22"/>
              </w:rPr>
              <w:t xml:space="preserve">Core Values of NMDPRA</w:t>
            </w:r>
          </w:p>
        </w:tc>
      </w:tr>
    </w:tbl>
    <w:p>
      <w:pPr>
        <w:spacing w:after="0" w:before="12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1</w:t>
            </w:r>
          </w:p>
        </w:tc>
        <w:tc>
          <w:tcPr>
            <w:tcW w:type="dxa" w:w="8760"/>
            <w:tcBorders>
              <w:top w:val="none"/>
              <w:left w:val="none"/>
              <w:bottom w:val="single" w:color="E2E8F0" w:sz="1"/>
              <w:right w:val="none"/>
            </w:tcBorders>
            <w:shd w:fill="FFFFFF" w:val="clear"/>
            <w:tcMar>
              <w:top w:type="dxa" w:w="80"/>
              <w:left w:type="dxa" w:w="160"/>
              <w:bottom w:type="dxa" w:w="80"/>
              <w:right w:type="dxa" w:w="120"/>
            </w:tcMar>
          </w:tcPr>
          <w:p>
            <w:r>
              <w:rPr>
                <w:rFonts w:ascii="Montserrat" w:cs="Montserrat" w:eastAsia="Montserrat" w:hAnsi="Montserrat"/>
                <w:color w:val="4A5568"/>
                <w:sz w:val="20"/>
                <w:szCs w:val="20"/>
              </w:rPr>
              <w:t xml:space="preserve">Integrity — Upholding transparency and accountability in all regulatory activities</w:t>
            </w:r>
          </w:p>
        </w:tc>
      </w:tr>
      <w:tr>
        <w:tc>
          <w:tcPr>
            <w:tcW w:type="dxa" w:w="600"/>
            <w:tcBorders>
              <w:top w:val="none"/>
              <w:left w:val="none"/>
              <w:bottom w:val="single" w:color="E2E8F0" w:sz="1"/>
              <w:right w:val="none"/>
            </w:tcBorders>
            <w:shd w:fill="E8EEF6"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2</w:t>
            </w:r>
          </w:p>
        </w:tc>
        <w:tc>
          <w:tcPr>
            <w:tcW w:type="dxa" w:w="876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Excellence — Maintaining world-class standards in technical and commercial regulation</w:t>
            </w:r>
          </w:p>
        </w:tc>
      </w:tr>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3</w:t>
            </w:r>
          </w:p>
        </w:tc>
        <w:tc>
          <w:tcPr>
            <w:tcW w:type="dxa" w:w="8760"/>
            <w:tcBorders>
              <w:top w:val="none"/>
              <w:left w:val="none"/>
              <w:bottom w:val="single" w:color="E2E8F0" w:sz="1"/>
              <w:right w:val="none"/>
            </w:tcBorders>
            <w:shd w:fill="FFFFFF" w:val="clear"/>
            <w:tcMar>
              <w:top w:type="dxa" w:w="80"/>
              <w:left w:type="dxa" w:w="160"/>
              <w:bottom w:type="dxa" w:w="80"/>
              <w:right w:type="dxa" w:w="120"/>
            </w:tcMar>
          </w:tcPr>
          <w:p>
            <w:r>
              <w:rPr>
                <w:rFonts w:ascii="Montserrat" w:cs="Montserrat" w:eastAsia="Montserrat" w:hAnsi="Montserrat"/>
                <w:color w:val="4A5568"/>
                <w:sz w:val="20"/>
                <w:szCs w:val="20"/>
              </w:rPr>
              <w:t xml:space="preserve">Innovation — Embracing modern technologies, data-driven regulation, and best global practices</w:t>
            </w:r>
          </w:p>
        </w:tc>
      </w:tr>
      <w:tr>
        <w:tc>
          <w:tcPr>
            <w:tcW w:type="dxa" w:w="600"/>
            <w:tcBorders>
              <w:top w:val="none"/>
              <w:left w:val="none"/>
              <w:bottom w:val="single" w:color="E2E8F0" w:sz="1"/>
              <w:right w:val="none"/>
            </w:tcBorders>
            <w:shd w:fill="E8EEF6"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4</w:t>
            </w:r>
          </w:p>
        </w:tc>
        <w:tc>
          <w:tcPr>
            <w:tcW w:type="dxa" w:w="876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Collaboration — Working constructively with industry, government, and international bodies</w:t>
            </w:r>
          </w:p>
        </w:tc>
      </w:tr>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5</w:t>
            </w:r>
          </w:p>
        </w:tc>
        <w:tc>
          <w:tcPr>
            <w:tcW w:type="dxa" w:w="8760"/>
            <w:tcBorders>
              <w:top w:val="none"/>
              <w:left w:val="none"/>
              <w:bottom w:val="single" w:color="E2E8F0" w:sz="1"/>
              <w:right w:val="none"/>
            </w:tcBorders>
            <w:shd w:fill="FFFFFF" w:val="clear"/>
            <w:tcMar>
              <w:top w:type="dxa" w:w="80"/>
              <w:left w:type="dxa" w:w="160"/>
              <w:bottom w:type="dxa" w:w="80"/>
              <w:right w:type="dxa" w:w="120"/>
            </w:tcMar>
          </w:tcPr>
          <w:p>
            <w:r>
              <w:rPr>
                <w:rFonts w:ascii="Montserrat" w:cs="Montserrat" w:eastAsia="Montserrat" w:hAnsi="Montserrat"/>
                <w:color w:val="4A5568"/>
                <w:sz w:val="20"/>
                <w:szCs w:val="20"/>
              </w:rPr>
              <w:t xml:space="preserve">Sustainability — Promoting environmentally responsible, long-term energy development</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001B44" w:val="clear"/>
            <w:tcMar>
              <w:top w:type="dxa" w:w="120"/>
              <w:left w:type="dxa" w:w="140"/>
              <w:bottom w:type="dxa" w:w="120"/>
              <w:right w:type="dxa" w:w="140"/>
            </w:tcMar>
          </w:tcPr>
          <w:p>
            <w:pPr>
              <w:jc w:val="center"/>
            </w:pPr>
            <w:r>
              <w:rPr>
                <w:rFonts w:ascii="Montserrat" w:cs="Montserrat" w:eastAsia="Montserrat" w:hAnsi="Montserrat"/>
                <w:b/>
                <w:bCs/>
                <w:color w:val="D4A017"/>
                <w:sz w:val="28"/>
                <w:szCs w:val="28"/>
              </w:rPr>
              <w:t xml:space="preserve">06</w:t>
            </w:r>
          </w:p>
        </w:tc>
        <w:tc>
          <w:tcPr>
            <w:tcW w:type="dxa" w:w="8760"/>
            <w:tcBorders>
              <w:top w:val="none"/>
              <w:left w:val="none"/>
              <w:bottom w:val="none"/>
              <w:right w:val="none"/>
            </w:tcBorders>
            <w:shd w:fill="001B44" w:val="clear"/>
            <w:tcMar>
              <w:top w:type="dxa" w:w="120"/>
              <w:left w:type="dxa" w:w="160"/>
              <w:bottom w:type="dxa" w:w="120"/>
              <w:right w:type="dxa" w:w="140"/>
            </w:tcMar>
          </w:tcPr>
          <w:p>
            <w:r>
              <w:rPr>
                <w:rFonts w:ascii="Montserrat" w:cs="Montserrat" w:eastAsia="Montserrat" w:hAnsi="Montserrat"/>
                <w:b/>
                <w:bCs/>
                <w:color w:val="FFFFFF"/>
                <w:sz w:val="22"/>
                <w:szCs w:val="22"/>
              </w:rPr>
              <w:t xml:space="preserve">Vision and Mission of NMDPRA</w:t>
            </w:r>
          </w:p>
        </w:tc>
      </w:tr>
    </w:tbl>
    <w:p>
      <w:pPr>
        <w:spacing w:after="0" w:before="120"/>
      </w:pPr>
      <w:r>
        <w:t xml:space="preserve"/>
      </w:r>
    </w:p>
    <w:p>
      <w:pPr>
        <w:spacing w:after="0" w:before="80"/>
      </w:pPr>
      <w:r>
        <w:t xml:space="preserve"/>
      </w:r>
    </w:p>
    <w:p>
      <w:r>
        <w:rPr>
          <w:rFonts w:ascii="Montserrat" w:cs="Montserrat" w:eastAsia="Montserrat" w:hAnsi="Montserrat"/>
          <w:b/>
          <w:bCs/>
          <w:color w:val="001B44"/>
          <w:sz w:val="22"/>
          <w:szCs w:val="22"/>
        </w:rPr>
        <w:t xml:space="preserve">Vision</w:t>
      </w:r>
    </w:p>
    <w:p>
      <w:pPr>
        <w:spacing w:after="0" w:before="40"/>
      </w:pPr>
      <w:r>
        <w:t xml:space="preserve"/>
      </w:r>
    </w:p>
    <w:p>
      <w:pPr>
        <w:spacing w:after="0" w:before="80" w:line="320" w:lineRule="auto"/>
      </w:pPr>
      <w:r>
        <w:rPr>
          <w:rFonts w:ascii="Montserrat" w:cs="Montserrat" w:eastAsia="Montserrat" w:hAnsi="Montserrat"/>
          <w:color w:val="4A5568"/>
          <w:sz w:val="21"/>
          <w:szCs w:val="21"/>
        </w:rPr>
        <w:t xml:space="preserve">To be a world-class regulator that ensures safe, efficient, and sustainable midstream and downstream petroleum operations in Nigeria, contributing to national energy security and economic development.</w:t>
      </w:r>
    </w:p>
    <w:p>
      <w:pPr>
        <w:spacing w:after="0" w:before="120"/>
      </w:pPr>
      <w:r>
        <w:t xml:space="preserve"/>
      </w:r>
    </w:p>
    <w:p>
      <w:r>
        <w:rPr>
          <w:rFonts w:ascii="Montserrat" w:cs="Montserrat" w:eastAsia="Montserrat" w:hAnsi="Montserrat"/>
          <w:b/>
          <w:bCs/>
          <w:color w:val="001B44"/>
          <w:sz w:val="22"/>
          <w:szCs w:val="22"/>
        </w:rPr>
        <w:t xml:space="preserve">Mission</w:t>
      </w:r>
    </w:p>
    <w:p>
      <w:pPr>
        <w:spacing w:after="0" w:before="40"/>
      </w:pPr>
      <w:r>
        <w:t xml:space="preserve"/>
      </w:r>
    </w:p>
    <w:p>
      <w:pPr>
        <w:spacing w:after="0" w:before="80" w:line="320" w:lineRule="auto"/>
      </w:pPr>
      <w:r>
        <w:rPr>
          <w:rFonts w:ascii="Montserrat" w:cs="Montserrat" w:eastAsia="Montserrat" w:hAnsi="Montserrat"/>
          <w:color w:val="4A5568"/>
          <w:sz w:val="21"/>
          <w:szCs w:val="21"/>
        </w:rPr>
        <w:t xml:space="preserve">To provide effective technical and commercial regulation of midstream and downstream petroleum operations, ensuring safety, environmental compliance, fair competition, consumer protection, and energy security for Nigeria.</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001B44" w:val="clear"/>
            <w:tcMar>
              <w:top w:type="dxa" w:w="120"/>
              <w:left w:type="dxa" w:w="140"/>
              <w:bottom w:type="dxa" w:w="120"/>
              <w:right w:type="dxa" w:w="140"/>
            </w:tcMar>
          </w:tcPr>
          <w:p>
            <w:pPr>
              <w:jc w:val="center"/>
            </w:pPr>
            <w:r>
              <w:rPr>
                <w:rFonts w:ascii="Montserrat" w:cs="Montserrat" w:eastAsia="Montserrat" w:hAnsi="Montserrat"/>
                <w:b/>
                <w:bCs/>
                <w:color w:val="D4A017"/>
                <w:sz w:val="28"/>
                <w:szCs w:val="28"/>
              </w:rPr>
              <w:t xml:space="preserve">07</w:t>
            </w:r>
          </w:p>
        </w:tc>
        <w:tc>
          <w:tcPr>
            <w:tcW w:type="dxa" w:w="8760"/>
            <w:tcBorders>
              <w:top w:val="none"/>
              <w:left w:val="none"/>
              <w:bottom w:val="none"/>
              <w:right w:val="none"/>
            </w:tcBorders>
            <w:shd w:fill="001B44" w:val="clear"/>
            <w:tcMar>
              <w:top w:type="dxa" w:w="120"/>
              <w:left w:type="dxa" w:w="160"/>
              <w:bottom w:type="dxa" w:w="120"/>
              <w:right w:type="dxa" w:w="140"/>
            </w:tcMar>
          </w:tcPr>
          <w:p>
            <w:r>
              <w:rPr>
                <w:rFonts w:ascii="Montserrat" w:cs="Montserrat" w:eastAsia="Montserrat" w:hAnsi="Montserrat"/>
                <w:b/>
                <w:bCs/>
                <w:color w:val="FFFFFF"/>
                <w:sz w:val="22"/>
                <w:szCs w:val="22"/>
              </w:rPr>
              <w:t xml:space="preserve">Five Countries of South East Asia</w:t>
            </w:r>
          </w:p>
        </w:tc>
      </w:tr>
    </w:tbl>
    <w:p>
      <w:pPr>
        <w:spacing w:after="0" w:before="12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none"/>
              <w:left w:val="none"/>
              <w:bottom w:val="none"/>
              <w:right w:val="none"/>
            </w:tcBorders>
            <w:shd w:fill="001B44" w:val="clear"/>
            <w:tcMar>
              <w:top w:type="dxa" w:w="80"/>
              <w:left w:type="dxa" w:w="120"/>
              <w:bottom w:type="dxa" w:w="80"/>
              <w:right w:type="dxa" w:w="120"/>
            </w:tcMar>
          </w:tcPr>
          <w:p>
            <w:pPr>
              <w:jc w:val="center"/>
            </w:pPr>
            <w:r>
              <w:rPr>
                <w:rFonts w:ascii="Montserrat" w:cs="Montserrat" w:eastAsia="Montserrat" w:hAnsi="Montserrat"/>
                <w:b/>
                <w:bCs/>
                <w:color w:val="D4A017"/>
                <w:sz w:val="19"/>
                <w:szCs w:val="19"/>
              </w:rPr>
              <w:t xml:space="preserve">#</w:t>
            </w:r>
          </w:p>
        </w:tc>
        <w:tc>
          <w:tcPr>
            <w:tcW w:type="dxa" w:w="4380"/>
            <w:tcBorders>
              <w:top w:val="none"/>
              <w:left w:val="none"/>
              <w:bottom w:val="none"/>
              <w:right w:val="none"/>
            </w:tcBorders>
            <w:shd w:fill="001B44" w:val="clear"/>
            <w:tcMar>
              <w:top w:type="dxa" w:w="80"/>
              <w:left w:type="dxa" w:w="160"/>
              <w:bottom w:type="dxa" w:w="80"/>
              <w:right w:type="dxa" w:w="120"/>
            </w:tcMar>
          </w:tcPr>
          <w:p>
            <w:r>
              <w:rPr>
                <w:rFonts w:ascii="Montserrat" w:cs="Montserrat" w:eastAsia="Montserrat" w:hAnsi="Montserrat"/>
                <w:b/>
                <w:bCs/>
                <w:color w:val="D4A017"/>
                <w:sz w:val="19"/>
                <w:szCs w:val="19"/>
              </w:rPr>
              <w:t xml:space="preserve">Country</w:t>
            </w:r>
          </w:p>
        </w:tc>
        <w:tc>
          <w:tcPr>
            <w:tcW w:type="dxa" w:w="4380"/>
            <w:tcBorders>
              <w:top w:val="none"/>
              <w:left w:val="none"/>
              <w:bottom w:val="none"/>
              <w:right w:val="none"/>
            </w:tcBorders>
            <w:shd w:fill="001B44" w:val="clear"/>
            <w:tcMar>
              <w:top w:type="dxa" w:w="80"/>
              <w:left w:type="dxa" w:w="160"/>
              <w:bottom w:type="dxa" w:w="80"/>
              <w:right w:type="dxa" w:w="120"/>
            </w:tcMar>
          </w:tcPr>
          <w:p>
            <w:r>
              <w:rPr>
                <w:rFonts w:ascii="Montserrat" w:cs="Montserrat" w:eastAsia="Montserrat" w:hAnsi="Montserrat"/>
                <w:b/>
                <w:bCs/>
                <w:color w:val="D4A017"/>
                <w:sz w:val="19"/>
                <w:szCs w:val="19"/>
              </w:rPr>
              <w:t xml:space="preserve">Capital</w:t>
            </w:r>
          </w:p>
        </w:tc>
      </w:tr>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1</w:t>
            </w:r>
          </w:p>
        </w:tc>
        <w:tc>
          <w:tcPr>
            <w:tcW w:type="dxa" w:w="438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Vietnam</w:t>
            </w:r>
          </w:p>
        </w:tc>
        <w:tc>
          <w:tcPr>
            <w:tcW w:type="dxa" w:w="438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Hanoi</w:t>
            </w:r>
          </w:p>
        </w:tc>
      </w:tr>
      <w:tr>
        <w:tc>
          <w:tcPr>
            <w:tcW w:type="dxa" w:w="600"/>
            <w:tcBorders>
              <w:top w:val="none"/>
              <w:left w:val="none"/>
              <w:bottom w:val="single" w:color="E2E8F0" w:sz="1"/>
              <w:right w:val="none"/>
            </w:tcBorders>
            <w:shd w:fill="F5F8FF"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2</w:t>
            </w:r>
          </w:p>
        </w:tc>
        <w:tc>
          <w:tcPr>
            <w:tcW w:type="dxa" w:w="438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Thailand</w:t>
            </w:r>
          </w:p>
        </w:tc>
        <w:tc>
          <w:tcPr>
            <w:tcW w:type="dxa" w:w="438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Bangkok</w:t>
            </w:r>
          </w:p>
        </w:tc>
      </w:tr>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3</w:t>
            </w:r>
          </w:p>
        </w:tc>
        <w:tc>
          <w:tcPr>
            <w:tcW w:type="dxa" w:w="438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Indonesia</w:t>
            </w:r>
          </w:p>
        </w:tc>
        <w:tc>
          <w:tcPr>
            <w:tcW w:type="dxa" w:w="438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Jakarta</w:t>
            </w:r>
          </w:p>
        </w:tc>
      </w:tr>
      <w:tr>
        <w:tc>
          <w:tcPr>
            <w:tcW w:type="dxa" w:w="600"/>
            <w:tcBorders>
              <w:top w:val="none"/>
              <w:left w:val="none"/>
              <w:bottom w:val="single" w:color="E2E8F0" w:sz="1"/>
              <w:right w:val="none"/>
            </w:tcBorders>
            <w:shd w:fill="F5F8FF"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4</w:t>
            </w:r>
          </w:p>
        </w:tc>
        <w:tc>
          <w:tcPr>
            <w:tcW w:type="dxa" w:w="438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Malaysia</w:t>
            </w:r>
          </w:p>
        </w:tc>
        <w:tc>
          <w:tcPr>
            <w:tcW w:type="dxa" w:w="438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Kuala Lumpur</w:t>
            </w:r>
          </w:p>
        </w:tc>
      </w:tr>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5</w:t>
            </w:r>
          </w:p>
        </w:tc>
        <w:tc>
          <w:tcPr>
            <w:tcW w:type="dxa" w:w="438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Singapore</w:t>
            </w:r>
          </w:p>
        </w:tc>
        <w:tc>
          <w:tcPr>
            <w:tcW w:type="dxa" w:w="438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Singapore City</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001B44" w:val="clear"/>
            <w:tcMar>
              <w:top w:type="dxa" w:w="120"/>
              <w:left w:type="dxa" w:w="140"/>
              <w:bottom w:type="dxa" w:w="120"/>
              <w:right w:type="dxa" w:w="140"/>
            </w:tcMar>
          </w:tcPr>
          <w:p>
            <w:pPr>
              <w:jc w:val="center"/>
            </w:pPr>
            <w:r>
              <w:rPr>
                <w:rFonts w:ascii="Montserrat" w:cs="Montserrat" w:eastAsia="Montserrat" w:hAnsi="Montserrat"/>
                <w:b/>
                <w:bCs/>
                <w:color w:val="D4A017"/>
                <w:sz w:val="28"/>
                <w:szCs w:val="28"/>
              </w:rPr>
              <w:t xml:space="preserve">08</w:t>
            </w:r>
          </w:p>
        </w:tc>
        <w:tc>
          <w:tcPr>
            <w:tcW w:type="dxa" w:w="8760"/>
            <w:tcBorders>
              <w:top w:val="none"/>
              <w:left w:val="none"/>
              <w:bottom w:val="none"/>
              <w:right w:val="none"/>
            </w:tcBorders>
            <w:shd w:fill="001B44" w:val="clear"/>
            <w:tcMar>
              <w:top w:type="dxa" w:w="120"/>
              <w:left w:type="dxa" w:w="160"/>
              <w:bottom w:type="dxa" w:w="120"/>
              <w:right w:type="dxa" w:w="140"/>
            </w:tcMar>
          </w:tcPr>
          <w:p>
            <w:r>
              <w:rPr>
                <w:rFonts w:ascii="Montserrat" w:cs="Montserrat" w:eastAsia="Montserrat" w:hAnsi="Montserrat"/>
                <w:b/>
                <w:bCs/>
                <w:color w:val="FFFFFF"/>
                <w:sz w:val="22"/>
                <w:szCs w:val="22"/>
              </w:rPr>
              <w:t xml:space="preserve">Five Countries in South America</w:t>
            </w:r>
          </w:p>
        </w:tc>
      </w:tr>
    </w:tbl>
    <w:p>
      <w:pPr>
        <w:spacing w:after="0" w:before="12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none"/>
              <w:left w:val="none"/>
              <w:bottom w:val="none"/>
              <w:right w:val="none"/>
            </w:tcBorders>
            <w:shd w:fill="001B44" w:val="clear"/>
            <w:tcMar>
              <w:top w:type="dxa" w:w="80"/>
              <w:left w:type="dxa" w:w="120"/>
              <w:bottom w:type="dxa" w:w="80"/>
              <w:right w:type="dxa" w:w="120"/>
            </w:tcMar>
          </w:tcPr>
          <w:p>
            <w:pPr>
              <w:jc w:val="center"/>
            </w:pPr>
            <w:r>
              <w:rPr>
                <w:rFonts w:ascii="Montserrat" w:cs="Montserrat" w:eastAsia="Montserrat" w:hAnsi="Montserrat"/>
                <w:b/>
                <w:bCs/>
                <w:color w:val="D4A017"/>
                <w:sz w:val="19"/>
                <w:szCs w:val="19"/>
              </w:rPr>
              <w:t xml:space="preserve">#</w:t>
            </w:r>
          </w:p>
        </w:tc>
        <w:tc>
          <w:tcPr>
            <w:tcW w:type="dxa" w:w="4380"/>
            <w:tcBorders>
              <w:top w:val="none"/>
              <w:left w:val="none"/>
              <w:bottom w:val="none"/>
              <w:right w:val="none"/>
            </w:tcBorders>
            <w:shd w:fill="001B44" w:val="clear"/>
            <w:tcMar>
              <w:top w:type="dxa" w:w="80"/>
              <w:left w:type="dxa" w:w="160"/>
              <w:bottom w:type="dxa" w:w="80"/>
              <w:right w:type="dxa" w:w="120"/>
            </w:tcMar>
          </w:tcPr>
          <w:p>
            <w:r>
              <w:rPr>
                <w:rFonts w:ascii="Montserrat" w:cs="Montserrat" w:eastAsia="Montserrat" w:hAnsi="Montserrat"/>
                <w:b/>
                <w:bCs/>
                <w:color w:val="D4A017"/>
                <w:sz w:val="19"/>
                <w:szCs w:val="19"/>
              </w:rPr>
              <w:t xml:space="preserve">Country</w:t>
            </w:r>
          </w:p>
        </w:tc>
        <w:tc>
          <w:tcPr>
            <w:tcW w:type="dxa" w:w="4380"/>
            <w:tcBorders>
              <w:top w:val="none"/>
              <w:left w:val="none"/>
              <w:bottom w:val="none"/>
              <w:right w:val="none"/>
            </w:tcBorders>
            <w:shd w:fill="001B44" w:val="clear"/>
            <w:tcMar>
              <w:top w:type="dxa" w:w="80"/>
              <w:left w:type="dxa" w:w="160"/>
              <w:bottom w:type="dxa" w:w="80"/>
              <w:right w:type="dxa" w:w="120"/>
            </w:tcMar>
          </w:tcPr>
          <w:p>
            <w:r>
              <w:rPr>
                <w:rFonts w:ascii="Montserrat" w:cs="Montserrat" w:eastAsia="Montserrat" w:hAnsi="Montserrat"/>
                <w:b/>
                <w:bCs/>
                <w:color w:val="D4A017"/>
                <w:sz w:val="19"/>
                <w:szCs w:val="19"/>
              </w:rPr>
              <w:t xml:space="preserve">Capital</w:t>
            </w:r>
          </w:p>
        </w:tc>
      </w:tr>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1</w:t>
            </w:r>
          </w:p>
        </w:tc>
        <w:tc>
          <w:tcPr>
            <w:tcW w:type="dxa" w:w="438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Brazil</w:t>
            </w:r>
          </w:p>
        </w:tc>
        <w:tc>
          <w:tcPr>
            <w:tcW w:type="dxa" w:w="438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Brasilia</w:t>
            </w:r>
          </w:p>
        </w:tc>
      </w:tr>
      <w:tr>
        <w:tc>
          <w:tcPr>
            <w:tcW w:type="dxa" w:w="600"/>
            <w:tcBorders>
              <w:top w:val="none"/>
              <w:left w:val="none"/>
              <w:bottom w:val="single" w:color="E2E8F0" w:sz="1"/>
              <w:right w:val="none"/>
            </w:tcBorders>
            <w:shd w:fill="F5F8FF"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2</w:t>
            </w:r>
          </w:p>
        </w:tc>
        <w:tc>
          <w:tcPr>
            <w:tcW w:type="dxa" w:w="438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Argentina</w:t>
            </w:r>
          </w:p>
        </w:tc>
        <w:tc>
          <w:tcPr>
            <w:tcW w:type="dxa" w:w="438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Buenos Aires</w:t>
            </w:r>
          </w:p>
        </w:tc>
      </w:tr>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3</w:t>
            </w:r>
          </w:p>
        </w:tc>
        <w:tc>
          <w:tcPr>
            <w:tcW w:type="dxa" w:w="438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Colombia</w:t>
            </w:r>
          </w:p>
        </w:tc>
        <w:tc>
          <w:tcPr>
            <w:tcW w:type="dxa" w:w="438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Bogota</w:t>
            </w:r>
          </w:p>
        </w:tc>
      </w:tr>
      <w:tr>
        <w:tc>
          <w:tcPr>
            <w:tcW w:type="dxa" w:w="600"/>
            <w:tcBorders>
              <w:top w:val="none"/>
              <w:left w:val="none"/>
              <w:bottom w:val="single" w:color="E2E8F0" w:sz="1"/>
              <w:right w:val="none"/>
            </w:tcBorders>
            <w:shd w:fill="F5F8FF"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4</w:t>
            </w:r>
          </w:p>
        </w:tc>
        <w:tc>
          <w:tcPr>
            <w:tcW w:type="dxa" w:w="438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Venezuela</w:t>
            </w:r>
          </w:p>
        </w:tc>
        <w:tc>
          <w:tcPr>
            <w:tcW w:type="dxa" w:w="438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Caracas</w:t>
            </w:r>
          </w:p>
        </w:tc>
      </w:tr>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5</w:t>
            </w:r>
          </w:p>
        </w:tc>
        <w:tc>
          <w:tcPr>
            <w:tcW w:type="dxa" w:w="438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Chile</w:t>
            </w:r>
          </w:p>
        </w:tc>
        <w:tc>
          <w:tcPr>
            <w:tcW w:type="dxa" w:w="438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Santiago</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001B44" w:val="clear"/>
            <w:tcMar>
              <w:top w:type="dxa" w:w="120"/>
              <w:left w:type="dxa" w:w="140"/>
              <w:bottom w:type="dxa" w:w="120"/>
              <w:right w:type="dxa" w:w="140"/>
            </w:tcMar>
          </w:tcPr>
          <w:p>
            <w:pPr>
              <w:jc w:val="center"/>
            </w:pPr>
            <w:r>
              <w:rPr>
                <w:rFonts w:ascii="Montserrat" w:cs="Montserrat" w:eastAsia="Montserrat" w:hAnsi="Montserrat"/>
                <w:b/>
                <w:bCs/>
                <w:color w:val="D4A017"/>
                <w:sz w:val="28"/>
                <w:szCs w:val="28"/>
              </w:rPr>
              <w:t xml:space="preserve">09</w:t>
            </w:r>
          </w:p>
        </w:tc>
        <w:tc>
          <w:tcPr>
            <w:tcW w:type="dxa" w:w="8760"/>
            <w:tcBorders>
              <w:top w:val="none"/>
              <w:left w:val="none"/>
              <w:bottom w:val="none"/>
              <w:right w:val="none"/>
            </w:tcBorders>
            <w:shd w:fill="001B44" w:val="clear"/>
            <w:tcMar>
              <w:top w:type="dxa" w:w="120"/>
              <w:left w:type="dxa" w:w="160"/>
              <w:bottom w:type="dxa" w:w="120"/>
              <w:right w:type="dxa" w:w="140"/>
            </w:tcMar>
          </w:tcPr>
          <w:p>
            <w:r>
              <w:rPr>
                <w:rFonts w:ascii="Montserrat" w:cs="Montserrat" w:eastAsia="Montserrat" w:hAnsi="Montserrat"/>
                <w:b/>
                <w:bCs/>
                <w:color w:val="FFFFFF"/>
                <w:sz w:val="22"/>
                <w:szCs w:val="22"/>
              </w:rPr>
              <w:t xml:space="preserve">Top 10 Oil Producing Countries (2026)</w:t>
            </w:r>
          </w:p>
        </w:tc>
      </w:tr>
    </w:tbl>
    <w:p>
      <w:pPr>
        <w:spacing w:after="0" w:before="12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60"/>
        <w:gridCol w:w="3300"/>
      </w:tblGrid>
      <w:tr>
        <w:tc>
          <w:tcPr>
            <w:tcW w:type="dxa" w:w="600"/>
            <w:tcBorders>
              <w:top w:val="none"/>
              <w:left w:val="none"/>
              <w:bottom w:val="none"/>
              <w:right w:val="none"/>
            </w:tcBorders>
            <w:shd w:fill="001B44" w:val="clear"/>
            <w:tcMar>
              <w:top w:type="dxa" w:w="80"/>
              <w:left w:type="dxa" w:w="120"/>
              <w:bottom w:type="dxa" w:w="80"/>
              <w:right w:type="dxa" w:w="120"/>
            </w:tcMar>
          </w:tcPr>
          <w:p>
            <w:pPr>
              <w:jc w:val="center"/>
            </w:pPr>
            <w:r>
              <w:rPr>
                <w:rFonts w:ascii="Montserrat" w:cs="Montserrat" w:eastAsia="Montserrat" w:hAnsi="Montserrat"/>
                <w:b/>
                <w:bCs/>
                <w:color w:val="D4A017"/>
                <w:sz w:val="19"/>
                <w:szCs w:val="19"/>
              </w:rPr>
              <w:t xml:space="preserve">#</w:t>
            </w:r>
          </w:p>
        </w:tc>
        <w:tc>
          <w:tcPr>
            <w:tcW w:type="dxa" w:w="5460"/>
            <w:tcBorders>
              <w:top w:val="none"/>
              <w:left w:val="none"/>
              <w:bottom w:val="none"/>
              <w:right w:val="none"/>
            </w:tcBorders>
            <w:shd w:fill="001B44" w:val="clear"/>
            <w:tcMar>
              <w:top w:type="dxa" w:w="80"/>
              <w:left w:type="dxa" w:w="160"/>
              <w:bottom w:type="dxa" w:w="80"/>
              <w:right w:type="dxa" w:w="120"/>
            </w:tcMar>
          </w:tcPr>
          <w:p>
            <w:r>
              <w:rPr>
                <w:rFonts w:ascii="Montserrat" w:cs="Montserrat" w:eastAsia="Montserrat" w:hAnsi="Montserrat"/>
                <w:b/>
                <w:bCs/>
                <w:color w:val="D4A017"/>
                <w:sz w:val="19"/>
                <w:szCs w:val="19"/>
              </w:rPr>
              <w:t xml:space="preserve">Country</w:t>
            </w:r>
          </w:p>
        </w:tc>
        <w:tc>
          <w:tcPr>
            <w:tcW w:type="dxa" w:w="3300"/>
            <w:tcBorders>
              <w:top w:val="none"/>
              <w:left w:val="none"/>
              <w:bottom w:val="none"/>
              <w:right w:val="none"/>
            </w:tcBorders>
            <w:shd w:fill="001B44" w:val="clear"/>
            <w:tcMar>
              <w:top w:type="dxa" w:w="80"/>
              <w:left w:type="dxa" w:w="160"/>
              <w:bottom w:type="dxa" w:w="80"/>
              <w:right w:type="dxa" w:w="120"/>
            </w:tcMar>
          </w:tcPr>
          <w:p>
            <w:r>
              <w:rPr>
                <w:rFonts w:ascii="Montserrat" w:cs="Montserrat" w:eastAsia="Montserrat" w:hAnsi="Montserrat"/>
                <w:b/>
                <w:bCs/>
                <w:color w:val="D4A017"/>
                <w:sz w:val="19"/>
                <w:szCs w:val="19"/>
              </w:rPr>
              <w:t xml:space="preserve">Est. Production</w:t>
            </w:r>
          </w:p>
        </w:tc>
      </w:tr>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1</w:t>
            </w:r>
          </w:p>
        </w:tc>
        <w:tc>
          <w:tcPr>
            <w:tcW w:type="dxa" w:w="546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USA</w:t>
            </w:r>
          </w:p>
        </w:tc>
        <w:tc>
          <w:tcPr>
            <w:tcW w:type="dxa" w:w="330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~13M bpd</w:t>
            </w:r>
          </w:p>
        </w:tc>
      </w:tr>
      <w:tr>
        <w:tc>
          <w:tcPr>
            <w:tcW w:type="dxa" w:w="600"/>
            <w:tcBorders>
              <w:top w:val="none"/>
              <w:left w:val="none"/>
              <w:bottom w:val="single" w:color="E2E8F0" w:sz="1"/>
              <w:right w:val="none"/>
            </w:tcBorders>
            <w:shd w:fill="F5F8FF"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2</w:t>
            </w:r>
          </w:p>
        </w:tc>
        <w:tc>
          <w:tcPr>
            <w:tcW w:type="dxa" w:w="546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Saudi Arabia</w:t>
            </w:r>
          </w:p>
        </w:tc>
        <w:tc>
          <w:tcPr>
            <w:tcW w:type="dxa" w:w="330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~10M bpd</w:t>
            </w:r>
          </w:p>
        </w:tc>
      </w:tr>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3</w:t>
            </w:r>
          </w:p>
        </w:tc>
        <w:tc>
          <w:tcPr>
            <w:tcW w:type="dxa" w:w="546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Russia</w:t>
            </w:r>
          </w:p>
        </w:tc>
        <w:tc>
          <w:tcPr>
            <w:tcW w:type="dxa" w:w="330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~10M bpd</w:t>
            </w:r>
          </w:p>
        </w:tc>
      </w:tr>
      <w:tr>
        <w:tc>
          <w:tcPr>
            <w:tcW w:type="dxa" w:w="600"/>
            <w:tcBorders>
              <w:top w:val="none"/>
              <w:left w:val="none"/>
              <w:bottom w:val="single" w:color="E2E8F0" w:sz="1"/>
              <w:right w:val="none"/>
            </w:tcBorders>
            <w:shd w:fill="F5F8FF"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4</w:t>
            </w:r>
          </w:p>
        </w:tc>
        <w:tc>
          <w:tcPr>
            <w:tcW w:type="dxa" w:w="546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Canada</w:t>
            </w:r>
          </w:p>
        </w:tc>
        <w:tc>
          <w:tcPr>
            <w:tcW w:type="dxa" w:w="330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~6M bpd</w:t>
            </w:r>
          </w:p>
        </w:tc>
      </w:tr>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5</w:t>
            </w:r>
          </w:p>
        </w:tc>
        <w:tc>
          <w:tcPr>
            <w:tcW w:type="dxa" w:w="546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Iraq</w:t>
            </w:r>
          </w:p>
        </w:tc>
        <w:tc>
          <w:tcPr>
            <w:tcW w:type="dxa" w:w="330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~4.5M bpd</w:t>
            </w:r>
          </w:p>
        </w:tc>
      </w:tr>
      <w:tr>
        <w:tc>
          <w:tcPr>
            <w:tcW w:type="dxa" w:w="600"/>
            <w:tcBorders>
              <w:top w:val="none"/>
              <w:left w:val="none"/>
              <w:bottom w:val="single" w:color="E2E8F0" w:sz="1"/>
              <w:right w:val="none"/>
            </w:tcBorders>
            <w:shd w:fill="F5F8FF"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6</w:t>
            </w:r>
          </w:p>
        </w:tc>
        <w:tc>
          <w:tcPr>
            <w:tcW w:type="dxa" w:w="546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China</w:t>
            </w:r>
          </w:p>
        </w:tc>
        <w:tc>
          <w:tcPr>
            <w:tcW w:type="dxa" w:w="330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~4.5M bpd</w:t>
            </w:r>
          </w:p>
        </w:tc>
      </w:tr>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7</w:t>
            </w:r>
          </w:p>
        </w:tc>
        <w:tc>
          <w:tcPr>
            <w:tcW w:type="dxa" w:w="546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Iran</w:t>
            </w:r>
          </w:p>
        </w:tc>
        <w:tc>
          <w:tcPr>
            <w:tcW w:type="dxa" w:w="330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~4M bpd</w:t>
            </w:r>
          </w:p>
        </w:tc>
      </w:tr>
      <w:tr>
        <w:tc>
          <w:tcPr>
            <w:tcW w:type="dxa" w:w="600"/>
            <w:tcBorders>
              <w:top w:val="none"/>
              <w:left w:val="none"/>
              <w:bottom w:val="single" w:color="E2E8F0" w:sz="1"/>
              <w:right w:val="none"/>
            </w:tcBorders>
            <w:shd w:fill="F5F8FF"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8</w:t>
            </w:r>
          </w:p>
        </w:tc>
        <w:tc>
          <w:tcPr>
            <w:tcW w:type="dxa" w:w="546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UAE</w:t>
            </w:r>
          </w:p>
        </w:tc>
        <w:tc>
          <w:tcPr>
            <w:tcW w:type="dxa" w:w="330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~4M bpd</w:t>
            </w:r>
          </w:p>
        </w:tc>
      </w:tr>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9</w:t>
            </w:r>
          </w:p>
        </w:tc>
        <w:tc>
          <w:tcPr>
            <w:tcW w:type="dxa" w:w="546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Brazil</w:t>
            </w:r>
          </w:p>
        </w:tc>
        <w:tc>
          <w:tcPr>
            <w:tcW w:type="dxa" w:w="330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color w:val="4A5568"/>
                <w:sz w:val="20"/>
                <w:szCs w:val="20"/>
              </w:rPr>
              <w:t xml:space="preserve">~3.5M bpd</w:t>
            </w:r>
          </w:p>
        </w:tc>
      </w:tr>
      <w:tr>
        <w:tc>
          <w:tcPr>
            <w:tcW w:type="dxa" w:w="600"/>
            <w:tcBorders>
              <w:top w:val="none"/>
              <w:left w:val="none"/>
              <w:bottom w:val="single" w:color="E2E8F0" w:sz="1"/>
              <w:right w:val="none"/>
            </w:tcBorders>
            <w:shd w:fill="F5F8FF"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10</w:t>
            </w:r>
          </w:p>
        </w:tc>
        <w:tc>
          <w:tcPr>
            <w:tcW w:type="dxa" w:w="546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Kuwait</w:t>
            </w:r>
          </w:p>
        </w:tc>
        <w:tc>
          <w:tcPr>
            <w:tcW w:type="dxa" w:w="330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color w:val="4A5568"/>
                <w:sz w:val="20"/>
                <w:szCs w:val="20"/>
              </w:rPr>
              <w:t xml:space="preserve">~2.8M bpd</w:t>
            </w:r>
          </w:p>
        </w:tc>
      </w:tr>
    </w:tbl>
    <w:p>
      <w:pPr>
        <w:spacing w:after="0" w:before="80"/>
      </w:pPr>
      <w:r>
        <w:t xml:space="preserve"/>
      </w:r>
    </w:p>
    <w:p>
      <w:pPr>
        <w:spacing w:after="0" w:before="80" w:line="320" w:lineRule="auto"/>
      </w:pPr>
      <w:r>
        <w:rPr>
          <w:rFonts w:ascii="Montserrat" w:cs="Montserrat" w:eastAsia="Montserrat" w:hAnsi="Montserrat"/>
          <w:color w:val="4A5568"/>
          <w:sz w:val="21"/>
          <w:szCs w:val="21"/>
        </w:rPr>
        <w:t xml:space="preserve">Note: Nigeria ranks approximately 14th globally — producing around 1.5M bpd. Nigeria has significant potential to grow output under the PIA 2021 and NNPC Gas Master Plan.</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001B44" w:val="clear"/>
            <w:tcMar>
              <w:top w:type="dxa" w:w="120"/>
              <w:left w:type="dxa" w:w="140"/>
              <w:bottom w:type="dxa" w:w="120"/>
              <w:right w:type="dxa" w:w="140"/>
            </w:tcMar>
          </w:tcPr>
          <w:p>
            <w:pPr>
              <w:jc w:val="center"/>
            </w:pPr>
            <w:r>
              <w:rPr>
                <w:rFonts w:ascii="Montserrat" w:cs="Montserrat" w:eastAsia="Montserrat" w:hAnsi="Montserrat"/>
                <w:b/>
                <w:bCs/>
                <w:color w:val="D4A017"/>
                <w:sz w:val="28"/>
                <w:szCs w:val="28"/>
              </w:rPr>
              <w:t xml:space="preserve">10</w:t>
            </w:r>
          </w:p>
        </w:tc>
        <w:tc>
          <w:tcPr>
            <w:tcW w:type="dxa" w:w="8760"/>
            <w:tcBorders>
              <w:top w:val="none"/>
              <w:left w:val="none"/>
              <w:bottom w:val="none"/>
              <w:right w:val="none"/>
            </w:tcBorders>
            <w:shd w:fill="001B44" w:val="clear"/>
            <w:tcMar>
              <w:top w:type="dxa" w:w="120"/>
              <w:left w:type="dxa" w:w="160"/>
              <w:bottom w:type="dxa" w:w="120"/>
              <w:right w:type="dxa" w:w="140"/>
            </w:tcMar>
          </w:tcPr>
          <w:p>
            <w:r>
              <w:rPr>
                <w:rFonts w:ascii="Montserrat" w:cs="Montserrat" w:eastAsia="Montserrat" w:hAnsi="Montserrat"/>
                <w:b/>
                <w:bCs/>
                <w:color w:val="FFFFFF"/>
                <w:sz w:val="22"/>
                <w:szCs w:val="22"/>
              </w:rPr>
              <w:t xml:space="preserve">Top 10 Countries with Highest Natural Gas Reserves</w:t>
            </w:r>
          </w:p>
        </w:tc>
      </w:tr>
    </w:tbl>
    <w:p>
      <w:pPr>
        <w:spacing w:after="0" w:before="12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60"/>
        <w:gridCol w:w="3300"/>
      </w:tblGrid>
      <w:tr>
        <w:tc>
          <w:tcPr>
            <w:tcW w:type="dxa" w:w="600"/>
            <w:tcBorders>
              <w:top w:val="none"/>
              <w:left w:val="none"/>
              <w:bottom w:val="none"/>
              <w:right w:val="none"/>
            </w:tcBorders>
            <w:shd w:fill="001B44" w:val="clear"/>
            <w:tcMar>
              <w:top w:type="dxa" w:w="80"/>
              <w:left w:type="dxa" w:w="120"/>
              <w:bottom w:type="dxa" w:w="80"/>
              <w:right w:type="dxa" w:w="120"/>
            </w:tcMar>
          </w:tcPr>
          <w:p>
            <w:pPr>
              <w:jc w:val="center"/>
            </w:pPr>
            <w:r>
              <w:rPr>
                <w:rFonts w:ascii="Montserrat" w:cs="Montserrat" w:eastAsia="Montserrat" w:hAnsi="Montserrat"/>
                <w:b/>
                <w:bCs/>
                <w:color w:val="D4A017"/>
                <w:sz w:val="19"/>
                <w:szCs w:val="19"/>
              </w:rPr>
              <w:t xml:space="preserve">#</w:t>
            </w:r>
          </w:p>
        </w:tc>
        <w:tc>
          <w:tcPr>
            <w:tcW w:type="dxa" w:w="5460"/>
            <w:tcBorders>
              <w:top w:val="none"/>
              <w:left w:val="none"/>
              <w:bottom w:val="none"/>
              <w:right w:val="none"/>
            </w:tcBorders>
            <w:shd w:fill="001B44" w:val="clear"/>
            <w:tcMar>
              <w:top w:type="dxa" w:w="80"/>
              <w:left w:type="dxa" w:w="160"/>
              <w:bottom w:type="dxa" w:w="80"/>
              <w:right w:type="dxa" w:w="120"/>
            </w:tcMar>
          </w:tcPr>
          <w:p>
            <w:r>
              <w:rPr>
                <w:rFonts w:ascii="Montserrat" w:cs="Montserrat" w:eastAsia="Montserrat" w:hAnsi="Montserrat"/>
                <w:b/>
                <w:bCs/>
                <w:color w:val="D4A017"/>
                <w:sz w:val="19"/>
                <w:szCs w:val="19"/>
              </w:rPr>
              <w:t xml:space="preserve">Country</w:t>
            </w:r>
          </w:p>
        </w:tc>
        <w:tc>
          <w:tcPr>
            <w:tcW w:type="dxa" w:w="3300"/>
            <w:tcBorders>
              <w:top w:val="none"/>
              <w:left w:val="none"/>
              <w:bottom w:val="none"/>
              <w:right w:val="none"/>
            </w:tcBorders>
            <w:shd w:fill="001B44" w:val="clear"/>
            <w:tcMar>
              <w:top w:type="dxa" w:w="80"/>
              <w:left w:type="dxa" w:w="160"/>
              <w:bottom w:type="dxa" w:w="80"/>
              <w:right w:type="dxa" w:w="120"/>
            </w:tcMar>
          </w:tcPr>
          <w:p>
            <w:r>
              <w:rPr>
                <w:rFonts w:ascii="Montserrat" w:cs="Montserrat" w:eastAsia="Montserrat" w:hAnsi="Montserrat"/>
                <w:b/>
                <w:bCs/>
                <w:color w:val="D4A017"/>
                <w:sz w:val="19"/>
                <w:szCs w:val="19"/>
              </w:rPr>
              <w:t xml:space="preserve">Reserves (tcf)</w:t>
            </w:r>
          </w:p>
        </w:tc>
      </w:tr>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1</w:t>
            </w:r>
          </w:p>
        </w:tc>
        <w:tc>
          <w:tcPr>
            <w:tcW w:type="dxa" w:w="546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b w:val="false"/>
                <w:bCs w:val="false"/>
                <w:color w:val="4A5568"/>
                <w:sz w:val="20"/>
                <w:szCs w:val="20"/>
              </w:rPr>
              <w:t xml:space="preserve">Russia</w:t>
            </w:r>
          </w:p>
        </w:tc>
        <w:tc>
          <w:tcPr>
            <w:tcW w:type="dxa" w:w="330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b w:val="false"/>
                <w:bCs w:val="false"/>
                <w:color w:val="4A5568"/>
                <w:sz w:val="20"/>
                <w:szCs w:val="20"/>
              </w:rPr>
              <w:t xml:space="preserve">~1,688 tcf</w:t>
            </w:r>
          </w:p>
        </w:tc>
      </w:tr>
      <w:tr>
        <w:tc>
          <w:tcPr>
            <w:tcW w:type="dxa" w:w="600"/>
            <w:tcBorders>
              <w:top w:val="none"/>
              <w:left w:val="none"/>
              <w:bottom w:val="single" w:color="E2E8F0" w:sz="1"/>
              <w:right w:val="none"/>
            </w:tcBorders>
            <w:shd w:fill="F5F8FF"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2</w:t>
            </w:r>
          </w:p>
        </w:tc>
        <w:tc>
          <w:tcPr>
            <w:tcW w:type="dxa" w:w="546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b w:val="false"/>
                <w:bCs w:val="false"/>
                <w:color w:val="4A5568"/>
                <w:sz w:val="20"/>
                <w:szCs w:val="20"/>
              </w:rPr>
              <w:t xml:space="preserve">Iran</w:t>
            </w:r>
          </w:p>
        </w:tc>
        <w:tc>
          <w:tcPr>
            <w:tcW w:type="dxa" w:w="330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b w:val="false"/>
                <w:bCs w:val="false"/>
                <w:color w:val="4A5568"/>
                <w:sz w:val="20"/>
                <w:szCs w:val="20"/>
              </w:rPr>
              <w:t xml:space="preserve">~1,203 tcf</w:t>
            </w:r>
          </w:p>
        </w:tc>
      </w:tr>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3</w:t>
            </w:r>
          </w:p>
        </w:tc>
        <w:tc>
          <w:tcPr>
            <w:tcW w:type="dxa" w:w="546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b w:val="false"/>
                <w:bCs w:val="false"/>
                <w:color w:val="4A5568"/>
                <w:sz w:val="20"/>
                <w:szCs w:val="20"/>
              </w:rPr>
              <w:t xml:space="preserve">Qatar</w:t>
            </w:r>
          </w:p>
        </w:tc>
        <w:tc>
          <w:tcPr>
            <w:tcW w:type="dxa" w:w="330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b w:val="false"/>
                <w:bCs w:val="false"/>
                <w:color w:val="4A5568"/>
                <w:sz w:val="20"/>
                <w:szCs w:val="20"/>
              </w:rPr>
              <w:t xml:space="preserve">~872 tcf</w:t>
            </w:r>
          </w:p>
        </w:tc>
      </w:tr>
      <w:tr>
        <w:tc>
          <w:tcPr>
            <w:tcW w:type="dxa" w:w="600"/>
            <w:tcBorders>
              <w:top w:val="none"/>
              <w:left w:val="none"/>
              <w:bottom w:val="single" w:color="E2E8F0" w:sz="1"/>
              <w:right w:val="none"/>
            </w:tcBorders>
            <w:shd w:fill="F5F8FF"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4</w:t>
            </w:r>
          </w:p>
        </w:tc>
        <w:tc>
          <w:tcPr>
            <w:tcW w:type="dxa" w:w="546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b w:val="false"/>
                <w:bCs w:val="false"/>
                <w:color w:val="4A5568"/>
                <w:sz w:val="20"/>
                <w:szCs w:val="20"/>
              </w:rPr>
              <w:t xml:space="preserve">USA</w:t>
            </w:r>
          </w:p>
        </w:tc>
        <w:tc>
          <w:tcPr>
            <w:tcW w:type="dxa" w:w="330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b w:val="false"/>
                <w:bCs w:val="false"/>
                <w:color w:val="4A5568"/>
                <w:sz w:val="20"/>
                <w:szCs w:val="20"/>
              </w:rPr>
              <w:t xml:space="preserve">~625 tcf</w:t>
            </w:r>
          </w:p>
        </w:tc>
      </w:tr>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5</w:t>
            </w:r>
          </w:p>
        </w:tc>
        <w:tc>
          <w:tcPr>
            <w:tcW w:type="dxa" w:w="546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b w:val="false"/>
                <w:bCs w:val="false"/>
                <w:color w:val="4A5568"/>
                <w:sz w:val="20"/>
                <w:szCs w:val="20"/>
              </w:rPr>
              <w:t xml:space="preserve">Turkmenistan</w:t>
            </w:r>
          </w:p>
        </w:tc>
        <w:tc>
          <w:tcPr>
            <w:tcW w:type="dxa" w:w="330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b w:val="false"/>
                <w:bCs w:val="false"/>
                <w:color w:val="4A5568"/>
                <w:sz w:val="20"/>
                <w:szCs w:val="20"/>
              </w:rPr>
              <w:t xml:space="preserve">~600 tcf</w:t>
            </w:r>
          </w:p>
        </w:tc>
      </w:tr>
      <w:tr>
        <w:tc>
          <w:tcPr>
            <w:tcW w:type="dxa" w:w="600"/>
            <w:tcBorders>
              <w:top w:val="none"/>
              <w:left w:val="none"/>
              <w:bottom w:val="single" w:color="E2E8F0" w:sz="1"/>
              <w:right w:val="none"/>
            </w:tcBorders>
            <w:shd w:fill="F5F8FF"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6</w:t>
            </w:r>
          </w:p>
        </w:tc>
        <w:tc>
          <w:tcPr>
            <w:tcW w:type="dxa" w:w="546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b w:val="false"/>
                <w:bCs w:val="false"/>
                <w:color w:val="4A5568"/>
                <w:sz w:val="20"/>
                <w:szCs w:val="20"/>
              </w:rPr>
              <w:t xml:space="preserve">Saudi Arabia</w:t>
            </w:r>
          </w:p>
        </w:tc>
        <w:tc>
          <w:tcPr>
            <w:tcW w:type="dxa" w:w="330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b w:val="false"/>
                <w:bCs w:val="false"/>
                <w:color w:val="4A5568"/>
                <w:sz w:val="20"/>
                <w:szCs w:val="20"/>
              </w:rPr>
              <w:t xml:space="preserve">~330 tcf</w:t>
            </w:r>
          </w:p>
        </w:tc>
      </w:tr>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7</w:t>
            </w:r>
          </w:p>
        </w:tc>
        <w:tc>
          <w:tcPr>
            <w:tcW w:type="dxa" w:w="546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b w:val="false"/>
                <w:bCs w:val="false"/>
                <w:color w:val="4A5568"/>
                <w:sz w:val="20"/>
                <w:szCs w:val="20"/>
              </w:rPr>
              <w:t xml:space="preserve">UAE</w:t>
            </w:r>
          </w:p>
        </w:tc>
        <w:tc>
          <w:tcPr>
            <w:tcW w:type="dxa" w:w="330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b w:val="false"/>
                <w:bCs w:val="false"/>
                <w:color w:val="4A5568"/>
                <w:sz w:val="20"/>
                <w:szCs w:val="20"/>
              </w:rPr>
              <w:t xml:space="preserve">~215 tcf</w:t>
            </w:r>
          </w:p>
        </w:tc>
      </w:tr>
      <w:tr>
        <w:tc>
          <w:tcPr>
            <w:tcW w:type="dxa" w:w="600"/>
            <w:tcBorders>
              <w:top w:val="none"/>
              <w:left w:val="none"/>
              <w:bottom w:val="single" w:color="E2E8F0" w:sz="1"/>
              <w:right w:val="none"/>
            </w:tcBorders>
            <w:shd w:fill="E8F4F0" w:val="clear"/>
            <w:tcMar>
              <w:top w:type="dxa" w:w="80"/>
              <w:left w:type="dxa" w:w="120"/>
              <w:bottom w:type="dxa" w:w="80"/>
              <w:right w:type="dxa" w:w="120"/>
            </w:tcMar>
          </w:tcPr>
          <w:p>
            <w:pPr>
              <w:jc w:val="center"/>
            </w:pPr>
            <w:r>
              <w:rPr>
                <w:rFonts w:ascii="Montserrat" w:cs="Montserrat" w:eastAsia="Montserrat" w:hAnsi="Montserrat"/>
                <w:b/>
                <w:bCs/>
                <w:color w:val="1B6B3A"/>
                <w:sz w:val="20"/>
                <w:szCs w:val="20"/>
              </w:rPr>
              <w:t xml:space="preserve">8</w:t>
            </w:r>
          </w:p>
        </w:tc>
        <w:tc>
          <w:tcPr>
            <w:tcW w:type="dxa" w:w="5460"/>
            <w:tcBorders>
              <w:top w:val="none"/>
              <w:left w:val="none"/>
              <w:bottom w:val="single" w:color="E2E8F0" w:sz="1"/>
              <w:right w:val="none"/>
            </w:tcBorders>
            <w:shd w:fill="E8F4F0" w:val="clear"/>
            <w:tcMar>
              <w:top w:type="dxa" w:w="80"/>
              <w:left w:type="dxa" w:w="160"/>
              <w:bottom w:type="dxa" w:w="80"/>
              <w:right w:type="dxa" w:w="120"/>
            </w:tcMar>
          </w:tcPr>
          <w:p>
            <w:r>
              <w:rPr>
                <w:rFonts w:ascii="Montserrat" w:cs="Montserrat" w:eastAsia="Montserrat" w:hAnsi="Montserrat"/>
                <w:b/>
                <w:bCs/>
                <w:color w:val="1B6B3A"/>
                <w:sz w:val="20"/>
                <w:szCs w:val="20"/>
              </w:rPr>
              <w:t xml:space="preserve">Nigeria</w:t>
            </w:r>
          </w:p>
        </w:tc>
        <w:tc>
          <w:tcPr>
            <w:tcW w:type="dxa" w:w="3300"/>
            <w:tcBorders>
              <w:top w:val="none"/>
              <w:left w:val="none"/>
              <w:bottom w:val="single" w:color="E2E8F0" w:sz="1"/>
              <w:right w:val="none"/>
            </w:tcBorders>
            <w:shd w:fill="E8F4F0" w:val="clear"/>
            <w:tcMar>
              <w:top w:type="dxa" w:w="80"/>
              <w:left w:type="dxa" w:w="160"/>
              <w:bottom w:type="dxa" w:w="80"/>
              <w:right w:type="dxa" w:w="120"/>
            </w:tcMar>
          </w:tcPr>
          <w:p>
            <w:r>
              <w:rPr>
                <w:rFonts w:ascii="Montserrat" w:cs="Montserrat" w:eastAsia="Montserrat" w:hAnsi="Montserrat"/>
                <w:b/>
                <w:bCs/>
                <w:color w:val="1B6B3A"/>
                <w:sz w:val="20"/>
                <w:szCs w:val="20"/>
              </w:rPr>
              <w:t xml:space="preserve">~210 tcf — Africa's largest</w:t>
            </w:r>
          </w:p>
        </w:tc>
      </w:tr>
      <w:tr>
        <w:tc>
          <w:tcPr>
            <w:tcW w:type="dxa" w:w="600"/>
            <w:tcBorders>
              <w:top w:val="none"/>
              <w:left w:val="none"/>
              <w:bottom w:val="single" w:color="E2E8F0" w:sz="1"/>
              <w:right w:val="none"/>
            </w:tcBorders>
            <w:shd w:fill="F0F4FA"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9</w:t>
            </w:r>
          </w:p>
        </w:tc>
        <w:tc>
          <w:tcPr>
            <w:tcW w:type="dxa" w:w="546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b w:val="false"/>
                <w:bCs w:val="false"/>
                <w:color w:val="4A5568"/>
                <w:sz w:val="20"/>
                <w:szCs w:val="20"/>
              </w:rPr>
              <w:t xml:space="preserve">Venezuela</w:t>
            </w:r>
          </w:p>
        </w:tc>
        <w:tc>
          <w:tcPr>
            <w:tcW w:type="dxa" w:w="3300"/>
            <w:tcBorders>
              <w:top w:val="none"/>
              <w:left w:val="none"/>
              <w:bottom w:val="single" w:color="E2E8F0" w:sz="1"/>
              <w:right w:val="none"/>
            </w:tcBorders>
            <w:shd w:fill="F0F4FA" w:val="clear"/>
            <w:tcMar>
              <w:top w:type="dxa" w:w="80"/>
              <w:left w:type="dxa" w:w="160"/>
              <w:bottom w:type="dxa" w:w="80"/>
              <w:right w:type="dxa" w:w="120"/>
            </w:tcMar>
          </w:tcPr>
          <w:p>
            <w:r>
              <w:rPr>
                <w:rFonts w:ascii="Montserrat" w:cs="Montserrat" w:eastAsia="Montserrat" w:hAnsi="Montserrat"/>
                <w:b w:val="false"/>
                <w:bCs w:val="false"/>
                <w:color w:val="4A5568"/>
                <w:sz w:val="20"/>
                <w:szCs w:val="20"/>
              </w:rPr>
              <w:t xml:space="preserve">~197 tcf</w:t>
            </w:r>
          </w:p>
        </w:tc>
      </w:tr>
      <w:tr>
        <w:tc>
          <w:tcPr>
            <w:tcW w:type="dxa" w:w="600"/>
            <w:tcBorders>
              <w:top w:val="none"/>
              <w:left w:val="none"/>
              <w:bottom w:val="single" w:color="E2E8F0" w:sz="1"/>
              <w:right w:val="none"/>
            </w:tcBorders>
            <w:shd w:fill="F5F8FF" w:val="clear"/>
            <w:tcMar>
              <w:top w:type="dxa" w:w="80"/>
              <w:left w:type="dxa" w:w="120"/>
              <w:bottom w:type="dxa" w:w="80"/>
              <w:right w:type="dxa" w:w="120"/>
            </w:tcMar>
          </w:tcPr>
          <w:p>
            <w:pPr>
              <w:jc w:val="center"/>
            </w:pPr>
            <w:r>
              <w:rPr>
                <w:rFonts w:ascii="Montserrat" w:cs="Montserrat" w:eastAsia="Montserrat" w:hAnsi="Montserrat"/>
                <w:b/>
                <w:bCs/>
                <w:color w:val="001B44"/>
                <w:sz w:val="20"/>
                <w:szCs w:val="20"/>
              </w:rPr>
              <w:t xml:space="preserve">10</w:t>
            </w:r>
          </w:p>
        </w:tc>
        <w:tc>
          <w:tcPr>
            <w:tcW w:type="dxa" w:w="546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b w:val="false"/>
                <w:bCs w:val="false"/>
                <w:color w:val="4A5568"/>
                <w:sz w:val="20"/>
                <w:szCs w:val="20"/>
              </w:rPr>
              <w:t xml:space="preserve">China</w:t>
            </w:r>
          </w:p>
        </w:tc>
        <w:tc>
          <w:tcPr>
            <w:tcW w:type="dxa" w:w="3300"/>
            <w:tcBorders>
              <w:top w:val="none"/>
              <w:left w:val="none"/>
              <w:bottom w:val="single" w:color="E2E8F0" w:sz="1"/>
              <w:right w:val="none"/>
            </w:tcBorders>
            <w:shd w:fill="F5F8FF" w:val="clear"/>
            <w:tcMar>
              <w:top w:type="dxa" w:w="80"/>
              <w:left w:type="dxa" w:w="160"/>
              <w:bottom w:type="dxa" w:w="80"/>
              <w:right w:type="dxa" w:w="120"/>
            </w:tcMar>
          </w:tcPr>
          <w:p>
            <w:r>
              <w:rPr>
                <w:rFonts w:ascii="Montserrat" w:cs="Montserrat" w:eastAsia="Montserrat" w:hAnsi="Montserrat"/>
                <w:b w:val="false"/>
                <w:bCs w:val="false"/>
                <w:color w:val="4A5568"/>
                <w:sz w:val="20"/>
                <w:szCs w:val="20"/>
              </w:rPr>
              <w:t xml:space="preserve">~170 tcf</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001B44" w:val="clear"/>
            <w:tcMar>
              <w:top w:type="dxa" w:w="120"/>
              <w:left w:type="dxa" w:w="140"/>
              <w:bottom w:type="dxa" w:w="120"/>
              <w:right w:type="dxa" w:w="140"/>
            </w:tcMar>
          </w:tcPr>
          <w:p>
            <w:pPr>
              <w:jc w:val="center"/>
            </w:pPr>
            <w:r>
              <w:rPr>
                <w:rFonts w:ascii="Montserrat" w:cs="Montserrat" w:eastAsia="Montserrat" w:hAnsi="Montserrat"/>
                <w:b/>
                <w:bCs/>
                <w:color w:val="D4A017"/>
                <w:sz w:val="28"/>
                <w:szCs w:val="28"/>
              </w:rPr>
              <w:t xml:space="preserve">11</w:t>
            </w:r>
          </w:p>
        </w:tc>
        <w:tc>
          <w:tcPr>
            <w:tcW w:type="dxa" w:w="8760"/>
            <w:tcBorders>
              <w:top w:val="none"/>
              <w:left w:val="none"/>
              <w:bottom w:val="none"/>
              <w:right w:val="none"/>
            </w:tcBorders>
            <w:shd w:fill="001B44" w:val="clear"/>
            <w:tcMar>
              <w:top w:type="dxa" w:w="120"/>
              <w:left w:type="dxa" w:w="160"/>
              <w:bottom w:type="dxa" w:w="120"/>
              <w:right w:type="dxa" w:w="140"/>
            </w:tcMar>
          </w:tcPr>
          <w:p>
            <w:r>
              <w:rPr>
                <w:rFonts w:ascii="Montserrat" w:cs="Montserrat" w:eastAsia="Montserrat" w:hAnsi="Montserrat"/>
                <w:b/>
                <w:bCs/>
                <w:color w:val="FFFFFF"/>
                <w:sz w:val="22"/>
                <w:szCs w:val="22"/>
              </w:rPr>
              <w:t xml:space="preserve">Three Implications of the Iran War on Global Energy Prices</w:t>
            </w:r>
          </w:p>
        </w:tc>
      </w:tr>
    </w:tbl>
    <w:p>
      <w:pPr>
        <w:spacing w:after="0" w:before="120"/>
      </w:pPr>
      <w:r>
        <w:t xml:space="preserve"/>
      </w:r>
    </w:p>
    <w:p>
      <w:pPr>
        <w:spacing w:after="0" w:before="80"/>
      </w:pPr>
      <w:r>
        <w:t xml:space="preserve"/>
      </w:r>
    </w:p>
    <w:p>
      <w:pPr>
        <w:spacing w:after="0" w:before="120"/>
      </w:pPr>
      <w:r>
        <w:rPr>
          <w:rFonts w:ascii="Montserrat" w:cs="Montserrat" w:eastAsia="Montserrat" w:hAnsi="Montserrat"/>
          <w:b/>
          <w:bCs/>
          <w:color w:val="001B44"/>
          <w:sz w:val="22"/>
          <w:szCs w:val="22"/>
        </w:rPr>
        <w:t xml:space="preserve">Implication 1 — Oil Price Spike: Strait of Hormuz Risk</w:t>
      </w:r>
    </w:p>
    <w:p>
      <w:pPr>
        <w:pBdr>
          <w:bottom w:val="single" w:color="D4A017" w:sz="6" w:space="1"/>
        </w:pBdr>
        <w:spacing w:after="100" w:before="0"/>
      </w:pPr>
      <w:r>
        <w:t xml:space="preserve"/>
      </w:r>
    </w:p>
    <w:p>
      <w:pPr>
        <w:spacing w:after="0" w:before="80" w:line="320" w:lineRule="auto"/>
      </w:pPr>
      <w:r>
        <w:rPr>
          <w:rFonts w:ascii="Montserrat" w:cs="Montserrat" w:eastAsia="Montserrat" w:hAnsi="Montserrat"/>
          <w:color w:val="4A5568"/>
          <w:sz w:val="21"/>
          <w:szCs w:val="21"/>
        </w:rPr>
        <w:t xml:space="preserve">Approximately 20% of the world's daily oil supply passes through the Strait of Hormuz — a narrow waterway controlled in part by Iran. Any conflict involving Iran threatens this critical chokepoint, causing immediate and sustained oil price spikes. In 2026, Saudi Arabia was forced to cut daily output from 10 million to 8 million barrels per day — a 20% reduction — because of its inability to safely export through the Strait. This supply disruption immediately pushes global oil prices higher, affecting every oil-importing economy.</w:t>
      </w:r>
    </w:p>
    <w:p>
      <w:pPr>
        <w:spacing w:after="0" w:before="120"/>
      </w:pPr>
      <w:r>
        <w:t xml:space="preserve"/>
      </w:r>
    </w:p>
    <w:p>
      <w:pPr>
        <w:spacing w:after="0" w:before="120"/>
      </w:pPr>
      <w:r>
        <w:rPr>
          <w:rFonts w:ascii="Montserrat" w:cs="Montserrat" w:eastAsia="Montserrat" w:hAnsi="Montserrat"/>
          <w:b/>
          <w:bCs/>
          <w:color w:val="001B44"/>
          <w:sz w:val="22"/>
          <w:szCs w:val="22"/>
        </w:rPr>
        <w:t xml:space="preserve">Implication 2 — Nigeria Benefits Short-Term, But Faces Domestic Pressure</w:t>
      </w:r>
    </w:p>
    <w:p>
      <w:pPr>
        <w:pBdr>
          <w:bottom w:val="single" w:color="D4A017" w:sz="6" w:space="1"/>
        </w:pBdr>
        <w:spacing w:after="100" w:before="0"/>
      </w:pPr>
      <w:r>
        <w:t xml:space="preserve"/>
      </w:r>
    </w:p>
    <w:p>
      <w:pPr>
        <w:spacing w:after="0" w:before="80" w:line="320" w:lineRule="auto"/>
      </w:pPr>
      <w:r>
        <w:rPr>
          <w:rFonts w:ascii="Montserrat" w:cs="Montserrat" w:eastAsia="Montserrat" w:hAnsi="Montserrat"/>
          <w:color w:val="4A5568"/>
          <w:sz w:val="21"/>
          <w:szCs w:val="21"/>
        </w:rPr>
        <w:t xml:space="preserve">Nigeria, as a major oil exporter, benefits in the short term from higher global oil prices — boosting government revenue, strengthening NNPC's earnings, and making projects like the NMGP more financially attractive to investors. However, Nigeria also imports refined petroleum products. Higher crude prices mean higher domestic fuel costs, driving inflation, putting pressure on the naira, and increasing the cost of living for ordinary Nigerians — creating a complex short-term gain vs. long-term pain scenario.</w:t>
      </w:r>
    </w:p>
    <w:p>
      <w:pPr>
        <w:spacing w:after="0" w:before="120"/>
      </w:pPr>
      <w:r>
        <w:t xml:space="preserve"/>
      </w:r>
    </w:p>
    <w:p>
      <w:pPr>
        <w:spacing w:after="0" w:before="120"/>
      </w:pPr>
      <w:r>
        <w:rPr>
          <w:rFonts w:ascii="Montserrat" w:cs="Montserrat" w:eastAsia="Montserrat" w:hAnsi="Montserrat"/>
          <w:b/>
          <w:bCs/>
          <w:color w:val="001B44"/>
          <w:sz w:val="22"/>
          <w:szCs w:val="22"/>
        </w:rPr>
        <w:t xml:space="preserve">Implication 3 — Accelerates African Energy Diversification &amp; NMGP Urgency</w:t>
      </w:r>
    </w:p>
    <w:p>
      <w:pPr>
        <w:pBdr>
          <w:bottom w:val="single" w:color="D4A017" w:sz="6" w:space="1"/>
        </w:pBdr>
        <w:spacing w:after="100" w:before="0"/>
      </w:pPr>
      <w:r>
        <w:t xml:space="preserve"/>
      </w:r>
    </w:p>
    <w:p>
      <w:pPr>
        <w:spacing w:after="0" w:before="80" w:line="320" w:lineRule="auto"/>
      </w:pPr>
      <w:r>
        <w:rPr>
          <w:rFonts w:ascii="Montserrat" w:cs="Montserrat" w:eastAsia="Montserrat" w:hAnsi="Montserrat"/>
          <w:color w:val="4A5568"/>
          <w:sz w:val="21"/>
          <w:szCs w:val="21"/>
        </w:rPr>
        <w:t xml:space="preserve">The Iran conflict highlights the danger of global dependence on Middle Eastern energy corridors. This directly strengthens the strategic case for African gas infrastructure — particularly the Nigeria-Morocco Gas Pipeline (NMGP) — as Europe, Asia, and others seek alternative, stable energy supply routes. The NMGP, connecting Nigerian gas through 13 African countries to Europe via Morocco, becomes even more geopolitically valuable during Middle East instability. For APRN, this means the engineering workforce needed to build and maintain this pipeline must be developed urgently — reinforcing APRN's founding mission and positioning.</w:t>
      </w:r>
    </w:p>
    <w:p>
      <w:pPr>
        <w:spacing w:after="0" w:before="360"/>
      </w:pPr>
      <w:r>
        <w:t xml:space="preserve"/>
      </w:r>
    </w:p>
    <w:p>
      <w:pPr>
        <w:pBdr>
          <w:bottom w:val="single" w:color="D4A017" w:sz="6" w:space="1"/>
        </w:pBdr>
        <w:spacing w:after="100" w:before="0"/>
      </w:pPr>
      <w:r>
        <w:t xml:space="preserve"/>
      </w:r>
    </w:p>
    <w:p>
      <w:pPr>
        <w:spacing w:after="0" w:before="120"/>
      </w:pPr>
      <w:r>
        <w:t xml:space="preserve"/>
      </w:r>
    </w:p>
    <w:p>
      <w:pPr>
        <w:jc w:val="center"/>
      </w:pPr>
      <w:r>
        <w:rPr>
          <w:rFonts w:ascii="Montserrat" w:cs="Montserrat" w:eastAsia="Montserrat" w:hAnsi="Montserrat"/>
          <w:color w:val="AAAAAA"/>
          <w:sz w:val="16"/>
          <w:szCs w:val="16"/>
        </w:rPr>
        <w:t xml:space="preserve">African Pipeline Resource Network (APRN)  ·  aprn-africa.org  ·  info@aprn-africa.org  ·  June 2026</w:t>
      </w:r>
    </w:p>
    <w:p>
      <w:pPr>
        <w:spacing w:before="60"/>
        <w:jc w:val="center"/>
      </w:pPr>
      <w:r>
        <w:rPr>
          <w:rFonts w:ascii="Montserrat" w:cs="Montserrat" w:eastAsia="Montserrat" w:hAnsi="Montserrat"/>
          <w:i/>
          <w:iCs/>
          <w:color w:val="BBBBBB"/>
          <w:sz w:val="16"/>
          <w:szCs w:val="16"/>
        </w:rPr>
        <w:t xml:space="preserve">Prepared by Joseph Agwuh — Head, Technology &amp; Innovation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2026-06-04T09:05:37.146Z</dcterms:created>
  <dcterms:modified xsi:type="dcterms:W3CDTF">2026-06-04T09:05:37.159Z</dcterms:modified>
</cp:coreProperties>
</file>

<file path=docProps/custom.xml><?xml version="1.0" encoding="utf-8"?>
<Properties xmlns="http://schemas.openxmlformats.org/officeDocument/2006/custom-properties" xmlns:vt="http://schemas.openxmlformats.org/officeDocument/2006/docPropsVTypes"/>
</file>