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E3A5F"/>
          <w:sz w:val="40"/>
          <w:szCs w:val="40"/>
        </w:rPr>
        <w:t xml:space="preserve">Estrutura de Pastas do Backend Express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Guia de Referência — Node.js + TypeScript</w:t>
      </w:r>
    </w:p>
    <w:p>
      <w:pPr>
        <w:spacing w:after="200"/>
      </w:pPr>
      <w:r>
        <w:t xml:space="preserve">Quando criamos um backend com Node.js e Express, organizamos o código em pastas com responsabilidades bem definidas. Esta separação segue o princípio da separação de responsabilidades (Separation of Concerns), que torna o código mais fácil de ler, manter e escalar.</w:t>
      </w:r>
    </w:p>
    <w:p>
      <w:pPr>
        <w:spacing w:after="400"/>
      </w:pPr>
      <w:r>
        <w:rPr>
          <w:b/>
          <w:bCs/>
        </w:rPr>
        <w:t xml:space="preserve">A estrutura utilizada neste projeto é a seguinte: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</w:rPr>
        <w:t xml:space="preserve">backend/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└── src/</w:t>
      </w:r>
    </w:p>
    <w:p>
      <w:pPr>
        <w:spacing w:after="60"/>
      </w:pPr>
      <w:r>
        <w:rPr>
          <w:rFonts w:ascii="Courier New" w:cs="Courier New" w:eastAsia="Courier New" w:hAnsi="Courier New"/>
          <w:color w:val="2E75B6"/>
        </w:rPr>
        <w:t xml:space="preserve">    ├── controllers/</w:t>
      </w:r>
    </w:p>
    <w:p>
      <w:pPr>
        <w:spacing w:after="60"/>
      </w:pPr>
      <w:r>
        <w:rPr>
          <w:rFonts w:ascii="Courier New" w:cs="Courier New" w:eastAsia="Courier New" w:hAnsi="Courier New"/>
          <w:color w:val="2E75B6"/>
        </w:rPr>
        <w:t xml:space="preserve">    ├── lib/</w:t>
      </w:r>
    </w:p>
    <w:p>
      <w:pPr>
        <w:spacing w:after="60"/>
      </w:pPr>
      <w:r>
        <w:rPr>
          <w:rFonts w:ascii="Courier New" w:cs="Courier New" w:eastAsia="Courier New" w:hAnsi="Courier New"/>
          <w:color w:val="2E75B6"/>
        </w:rPr>
        <w:t xml:space="preserve">    ├── middleware/</w:t>
      </w:r>
    </w:p>
    <w:p>
      <w:pPr>
        <w:spacing w:after="60"/>
      </w:pPr>
      <w:r>
        <w:rPr>
          <w:rFonts w:ascii="Courier New" w:cs="Courier New" w:eastAsia="Courier New" w:hAnsi="Courier New"/>
          <w:color w:val="2E75B6"/>
        </w:rPr>
        <w:t xml:space="preserve">    ├── routes/</w:t>
      </w:r>
    </w:p>
    <w:p>
      <w:pPr>
        <w:spacing w:after="60"/>
      </w:pPr>
      <w:r>
        <w:rPr>
          <w:rFonts w:ascii="Courier New" w:cs="Courier New" w:eastAsia="Courier New" w:hAnsi="Courier New"/>
          <w:color w:val="2E75B6"/>
        </w:rPr>
        <w:t xml:space="preserve">    ├── types/</w:t>
      </w:r>
    </w:p>
    <w:p>
      <w:pPr>
        <w:spacing w:after="400"/>
      </w:pPr>
      <w:r>
        <w:rPr>
          <w:rFonts w:ascii="Courier New" w:cs="Courier New" w:eastAsia="Courier New" w:hAnsi="Courier New"/>
        </w:rPr>
        <w:t xml:space="preserve">    └── app.ts</w:t>
      </w:r>
    </w:p>
    <w:p>
      <w:pPr>
        <w:pStyle w:val="Heading1"/>
      </w:pPr>
      <w:r>
        <w:rPr>
          <w:b/>
          <w:bCs/>
        </w:rPr>
        <w:t xml:space="preserve">O Fluxo de um Pedido HTTP</w:t>
      </w:r>
    </w:p>
    <w:p>
      <w:pPr>
        <w:spacing w:after="200"/>
      </w:pPr>
      <w:r>
        <w:t xml:space="preserve">Antes de explicar cada pasta, é importante perceber o caminho que um pedido HTTP percorre desde que chega ao servidor até devolver uma resposta: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b/>
          <w:bCs/>
          <w:color w:val="1E3A5F"/>
        </w:rPr>
        <w:t xml:space="preserve">Request  →  routes  →  middleware  →  controllers  →  base de dados / serviços externos  →  Response</w:t>
      </w:r>
    </w:p>
    <w:p>
      <w:pPr>
        <w:pStyle w:val="Heading1"/>
      </w:pPr>
      <w:r>
        <w:t xml:space="preserve">1. routes/ — O Mapa de Endereços da API</w:t>
      </w:r>
    </w:p>
    <w:p>
      <w:pPr>
        <w:spacing w:after="200"/>
      </w:pPr>
      <w:r>
        <w:t xml:space="preserve">A pasta routes/ é a primeira a receber qualquer pedido HTTP. Aqui definimos os endpoints da nossa API: os URLs disponíveis e os métodos HTTP associados (GET, POST, PUT, DELETE). É como um mapa de estradas — diz ao servidor para onde deve ir cada pedido.</w:t>
      </w:r>
    </w:p>
    <w:p>
      <w:pPr>
        <w:spacing w:after="200"/>
      </w:pPr>
      <w:r>
        <w:rPr>
          <w:b/>
          <w:bCs/>
        </w:rPr>
        <w:t xml:space="preserve">O que fazemos aqui:</w:t>
      </w:r>
    </w:p>
    <w:p>
      <w:pPr>
        <w:pStyle w:val="ListParagraph"/>
        <w:numPr>
          <w:ilvl w:val="0"/>
          <w:numId w:val="2"/>
        </w:numPr>
      </w:pPr>
      <w:r>
        <w:t xml:space="preserve">Definir os endpoints: GET /artigos, POST /artigos, DELETE /artigos/:id</w:t>
      </w:r>
    </w:p>
    <w:p>
      <w:pPr>
        <w:pStyle w:val="ListParagraph"/>
        <w:numPr>
          <w:ilvl w:val="0"/>
          <w:numId w:val="2"/>
        </w:numPr>
      </w:pPr>
      <w:r>
        <w:t xml:space="preserve">Associar cada endpoint ao seu controller</w:t>
      </w:r>
    </w:p>
    <w:p>
      <w:pPr>
        <w:pStyle w:val="ListParagraph"/>
        <w:numPr>
          <w:ilvl w:val="0"/>
          <w:numId w:val="2"/>
        </w:numPr>
      </w:pPr>
      <w:r>
        <w:t xml:space="preserve">Aplicar middleware a rotas específicas (ex: autenticação apenas em rotas protegidas)</w:t>
      </w:r>
    </w:p>
    <w:p>
      <w:pPr>
        <w:spacing w:before="200" w:after="200"/>
      </w:pPr>
      <w:r>
        <w:rPr>
          <w:b/>
          <w:bCs/>
        </w:rPr>
        <w:t xml:space="preserve">O que NÃO fazemos aqui:</w:t>
      </w:r>
    </w:p>
    <w:p>
      <w:pPr>
        <w:pStyle w:val="ListParagraph"/>
        <w:numPr>
          <w:ilvl w:val="0"/>
          <w:numId w:val="2"/>
        </w:numPr>
      </w:pPr>
      <w:r>
        <w:t xml:space="preserve">Lógica de negócio — essa fica nos controllers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Acesso direto à base de dados</w:t>
      </w:r>
    </w:p>
    <w:p>
      <w:pPr>
        <w:spacing w:after="100"/>
      </w:pPr>
      <w:r>
        <w:rPr>
          <w:i/>
          <w:iCs/>
          <w:color w:val="666666"/>
        </w:rPr>
        <w:t xml:space="preserve">Exemplo (routes/artigos.ts):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router.get('/', listarArtigos);       // GET /artigos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router.post('/', criarArtigo);        // POST /artigos</w:t>
      </w:r>
    </w:p>
    <w:p>
      <w:pPr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router.delete('/:id', eliminarArtigo); // DELETE /artigos/:id</w:t>
      </w:r>
    </w:p>
    <w:p>
      <w:pPr>
        <w:pStyle w:val="Heading1"/>
      </w:pPr>
      <w:r>
        <w:t xml:space="preserve">2. controllers/ — O Cérebro da Aplicação</w:t>
      </w:r>
    </w:p>
    <w:p>
      <w:pPr>
        <w:spacing w:after="200"/>
      </w:pPr>
      <w:r>
        <w:t xml:space="preserve">Os controllers contêm a lógica de negócio da aplicação. É aqui que decidimos o que fazer quando um endpoint é chamado: validar dados, comunicar com a base de dados, processar ficheiros, formatar a resposta. Se as routes são o mapa, os controllers são os condutores.</w:t>
      </w:r>
    </w:p>
    <w:p>
      <w:pPr>
        <w:spacing w:after="200"/>
      </w:pPr>
      <w:r>
        <w:rPr>
          <w:b/>
          <w:bCs/>
        </w:rPr>
        <w:t xml:space="preserve">O que fazemos aqui:</w:t>
      </w:r>
    </w:p>
    <w:p>
      <w:pPr>
        <w:pStyle w:val="ListParagraph"/>
        <w:numPr>
          <w:ilvl w:val="0"/>
          <w:numId w:val="2"/>
        </w:numPr>
      </w:pPr>
      <w:r>
        <w:t xml:space="preserve">Receber o pedido (req) e preparar a resposta (res)</w:t>
      </w:r>
    </w:p>
    <w:p>
      <w:pPr>
        <w:pStyle w:val="ListParagraph"/>
        <w:numPr>
          <w:ilvl w:val="0"/>
          <w:numId w:val="2"/>
        </w:numPr>
      </w:pPr>
      <w:r>
        <w:t xml:space="preserve">Chamar a base de dados via Supabase para criar, ler, atualizar ou eliminar dados</w:t>
      </w:r>
    </w:p>
    <w:p>
      <w:pPr>
        <w:pStyle w:val="ListParagraph"/>
        <w:numPr>
          <w:ilvl w:val="0"/>
          <w:numId w:val="2"/>
        </w:numPr>
      </w:pPr>
      <w:r>
        <w:t xml:space="preserve">Tratar erros e devolver mensagens de erro apropriadas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Processar uploads de ficheiros (com ajuda do Multer e do Supabase Storage)</w:t>
      </w:r>
    </w:p>
    <w:p>
      <w:pPr>
        <w:spacing w:after="100"/>
      </w:pPr>
      <w:r>
        <w:rPr>
          <w:i/>
          <w:iCs/>
          <w:color w:val="666666"/>
        </w:rPr>
        <w:t xml:space="preserve">Exemplo (controllers/artigosController.ts):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listarArtigos = async (req, res) =&gt; {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const { data, error } = await supabase.from('artigos').select('*');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if (error) return res.status(500).json({ error });</w:t>
      </w:r>
    </w:p>
    <w:p>
      <w:pPr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  res.json(data);</w:t>
      </w:r>
    </w:p>
    <w:p>
      <w:pPr>
        <w:pStyle w:val="Heading1"/>
      </w:pPr>
      <w:r>
        <w:t xml:space="preserve">3. lib/ — Configurações e Serviços Externos</w:t>
      </w:r>
    </w:p>
    <w:p>
      <w:pPr>
        <w:spacing w:after="200"/>
      </w:pPr>
      <w:r>
        <w:t xml:space="preserve">A pasta lib/ contém a configuração de serviços externos que são partilhados por toda a aplicação. É aqui que inicializamos clientes como o Supabase, uma vez, e exportamos para ser usado em qualquer controller. Evita repetição e centraliza configurações críticas.</w:t>
      </w:r>
    </w:p>
    <w:p>
      <w:pPr>
        <w:spacing w:after="200"/>
      </w:pPr>
      <w:r>
        <w:rPr>
          <w:b/>
          <w:bCs/>
        </w:rPr>
        <w:t xml:space="preserve">O que encontramos aqui:</w:t>
      </w:r>
    </w:p>
    <w:p>
      <w:pPr>
        <w:pStyle w:val="ListParagraph"/>
        <w:numPr>
          <w:ilvl w:val="0"/>
          <w:numId w:val="2"/>
        </w:numPr>
      </w:pPr>
      <w:r>
        <w:t xml:space="preserve">supabase.ts — inicializa e exporta o cliente Supabase com as chaves de API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Outros clientes de serviços: e-mail, pagamentos, etc. (se necessário)</w:t>
      </w:r>
    </w:p>
    <w:p>
      <w:pPr>
        <w:spacing w:after="100"/>
      </w:pPr>
      <w:r>
        <w:rPr>
          <w:i/>
          <w:iCs/>
          <w:color w:val="666666"/>
        </w:rPr>
        <w:t xml:space="preserve">Exemplo (lib/supabase.ts):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import { createClient } from '@supabase/supabase-js';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supabase = createClient(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process.env.SUPABASE_URL!,</w:t>
      </w:r>
    </w:p>
    <w:p>
      <w:pPr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  process.env.SUPABASE_SERVICE_KEY!</w:t>
      </w:r>
    </w:p>
    <w:p>
      <w:pPr>
        <w:pStyle w:val="Heading1"/>
      </w:pPr>
      <w:r>
        <w:t xml:space="preserve">4. middleware/ — Os Guardas da Aplicação</w:t>
      </w:r>
    </w:p>
    <w:p>
      <w:pPr>
        <w:spacing w:after="200"/>
      </w:pPr>
      <w:r>
        <w:t xml:space="preserve">O middleware é código que corre entre a chegada do pedido e a execução do controller. Age como um guarda de segurança: verifica se o pedido tem autorização para continuar. Se o middleware aprovar, o pedido passa para o controller; se não aprovar, devolve um erro imediatamente.</w:t>
      </w:r>
    </w:p>
    <w:p>
      <w:pPr>
        <w:spacing w:after="200"/>
      </w:pPr>
      <w:r>
        <w:rPr>
          <w:b/>
          <w:bCs/>
        </w:rPr>
        <w:t xml:space="preserve">O que fazemos aqui:</w:t>
      </w:r>
    </w:p>
    <w:p>
      <w:pPr>
        <w:pStyle w:val="ListParagraph"/>
        <w:numPr>
          <w:ilvl w:val="0"/>
          <w:numId w:val="2"/>
        </w:numPr>
      </w:pPr>
      <w:r>
        <w:t xml:space="preserve">Verificar se o utilizador está autenticado (JWT token válido)</w:t>
      </w:r>
    </w:p>
    <w:p>
      <w:pPr>
        <w:pStyle w:val="ListParagraph"/>
        <w:numPr>
          <w:ilvl w:val="0"/>
          <w:numId w:val="2"/>
        </w:numPr>
      </w:pPr>
      <w:r>
        <w:t xml:space="preserve">Verificar permissões (ex: só admins podem aceder a certas rotas)</w:t>
      </w:r>
    </w:p>
    <w:p>
      <w:pPr>
        <w:pStyle w:val="ListParagraph"/>
        <w:numPr>
          <w:ilvl w:val="0"/>
          <w:numId w:val="2"/>
        </w:numPr>
      </w:pPr>
      <w:r>
        <w:t xml:space="preserve">Adicionar informação do utilizador ao objeto req para usar nos controllers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Logging, rate limiting, validação de input, etc.</w:t>
      </w:r>
    </w:p>
    <w:p>
      <w:pPr>
        <w:spacing w:after="100"/>
      </w:pPr>
      <w:r>
        <w:rPr>
          <w:i/>
          <w:iCs/>
          <w:color w:val="666666"/>
        </w:rPr>
        <w:t xml:space="preserve">Exemplo (middleware/authMiddleware.ts):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requireAuth = async (req, res, next) =&gt; {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const token = req.headers.authorization?.split(' ')[1];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if (!token) return res.status(401).json({ error: 'Não autorizado' });</w:t>
      </w:r>
    </w:p>
    <w:p>
      <w:pPr>
        <w:spacing w:after="400"/>
      </w:pPr>
      <w:r>
        <w:rPr>
          <w:rFonts w:ascii="Courier New" w:cs="Courier New" w:eastAsia="Courier New" w:hAnsi="Courier New"/>
          <w:color w:val="4CAF50"/>
          <w:sz w:val="20"/>
          <w:szCs w:val="20"/>
        </w:rPr>
        <w:t xml:space="preserve">  next(); // passa para o controller</w:t>
      </w:r>
    </w:p>
    <w:p>
      <w:pPr>
        <w:pStyle w:val="Heading1"/>
      </w:pPr>
      <w:r>
        <w:t xml:space="preserve">5. types/ — Extensões de Tipos TypeScript</w:t>
      </w:r>
    </w:p>
    <w:p>
      <w:pPr>
        <w:spacing w:after="200"/>
      </w:pPr>
      <w:r>
        <w:t xml:space="preserve">A pasta types/ existe porque o TypeScript precisa de saber exatamente que tipo de dados existem em cada variável. Quando adicionamos informação personalizada ao objeto req do Express (como o utilizador autenticado), o TypeScript não sabe que esse campo existe — temos de o declarar aqui.</w:t>
      </w:r>
    </w:p>
    <w:p>
      <w:pPr>
        <w:spacing w:after="200"/>
      </w:pPr>
      <w:r>
        <w:rPr>
          <w:b/>
          <w:bCs/>
        </w:rPr>
        <w:t xml:space="preserve">O que encontramos aqui:</w:t>
      </w:r>
    </w:p>
    <w:p>
      <w:pPr>
        <w:pStyle w:val="ListParagraph"/>
        <w:numPr>
          <w:ilvl w:val="0"/>
          <w:numId w:val="2"/>
        </w:numPr>
      </w:pPr>
      <w:r>
        <w:t xml:space="preserve">express.d.ts — estende a interface Request do Express para incluir campos personalizados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Outros tipos globais partilhados por vários ficheiros</w:t>
      </w:r>
    </w:p>
    <w:p>
      <w:pPr>
        <w:spacing w:after="100"/>
      </w:pPr>
      <w:r>
        <w:rPr>
          <w:i/>
          <w:iCs/>
          <w:color w:val="666666"/>
        </w:rPr>
        <w:t xml:space="preserve">Exemplo (types/express.d.ts):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declare global {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namespace Express {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interface Request {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  user?: { id: string; email: string };</w:t>
      </w:r>
    </w:p>
    <w:p>
      <w:pPr>
        <w:spacing w:after="400"/>
      </w:pPr>
      <w:r>
        <w:rPr>
          <w:rFonts w:ascii="Courier New" w:cs="Courier New" w:eastAsia="Courier New" w:hAnsi="Courier New"/>
          <w:sz w:val="20"/>
          <w:szCs w:val="20"/>
        </w:rPr>
        <w:t xml:space="preserve">    } } }</w:t>
      </w:r>
    </w:p>
    <w:p>
      <w:pPr>
        <w:pStyle w:val="Heading1"/>
      </w:pPr>
      <w:r>
        <w:t xml:space="preserve">6. app.ts — O Ponto de Entrada da Aplicação</w:t>
      </w:r>
    </w:p>
    <w:p>
      <w:pPr>
        <w:spacing w:after="200"/>
      </w:pPr>
      <w:r>
        <w:t xml:space="preserve">O ficheiro app.ts é o ficheiro principal que junta tudo. É aqui que criamos a aplicação Express, registamos os middlewares globais e ligamos todas as rotas. É como a receção de um edifício — tudo passa por aqui antes de ir para o seu destino.</w:t>
      </w:r>
    </w:p>
    <w:p>
      <w:pPr>
        <w:spacing w:after="200"/>
      </w:pPr>
      <w:r>
        <w:rPr>
          <w:b/>
          <w:bCs/>
        </w:rPr>
        <w:t xml:space="preserve">O que fazemos aqui:</w:t>
      </w:r>
    </w:p>
    <w:p>
      <w:pPr>
        <w:pStyle w:val="ListParagraph"/>
        <w:numPr>
          <w:ilvl w:val="0"/>
          <w:numId w:val="2"/>
        </w:numPr>
      </w:pPr>
      <w:r>
        <w:t xml:space="preserve">Criar a app Express: const app = express()</w:t>
      </w:r>
    </w:p>
    <w:p>
      <w:pPr>
        <w:pStyle w:val="ListParagraph"/>
        <w:numPr>
          <w:ilvl w:val="0"/>
          <w:numId w:val="2"/>
        </w:numPr>
      </w:pPr>
      <w:r>
        <w:t xml:space="preserve">Registar middlewares globais: CORS, JSON parser, etc.</w:t>
      </w:r>
    </w:p>
    <w:p>
      <w:pPr>
        <w:pStyle w:val="ListParagraph"/>
        <w:numPr>
          <w:ilvl w:val="0"/>
          <w:numId w:val="2"/>
        </w:numPr>
      </w:pPr>
      <w:r>
        <w:t xml:space="preserve">Importar e registar todas as rotas: app.use('/api/artigos', artigosRoutes)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Iniciar o servidor: app.listen(PORT)</w:t>
      </w:r>
    </w:p>
    <w:p>
      <w:pPr>
        <w:pStyle w:val="Heading1"/>
      </w:pPr>
      <w:r>
        <w:t xml:space="preserve">Resumo — Regra de Ouro</w:t>
      </w:r>
    </w:p>
    <w:p>
      <w:pPr>
        <w:spacing w:after="200"/>
      </w:pPr>
      <w:r>
        <w:t xml:space="preserve">Quando tens dúvidas sobre onde colocar código, faz estas perguntas: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 um URL/endpoint? </w:t>
      </w:r>
      <w:r>
        <w:t xml:space="preserve">→ routes/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 lógica de negócio ou acesso à base de dados? </w:t>
      </w:r>
      <w:r>
        <w:t xml:space="preserve">→ controllers/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 a configuração de um serviço externo? </w:t>
      </w:r>
      <w:r>
        <w:t xml:space="preserve">→ lib/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 antes do controller para verificar algo? </w:t>
      </w:r>
      <w:r>
        <w:t xml:space="preserve">→ middleware/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É uma definição de tipo TypeScript personalizada? </w:t>
      </w:r>
      <w:r>
        <w:t xml:space="preserve">→ types/</w:t>
      </w:r>
    </w:p>
    <w:p>
      <w:pPr>
        <w:pBdr>
          <w:top w:val="single" w:color="2E75B6" w:sz="6" w:space="1"/>
        </w:pBdr>
        <w:spacing w:after="200"/>
      </w:pPr>
      <w:r>
        <w:rPr>
          <w:i/>
          <w:iCs/>
          <w:color w:val="444444"/>
        </w:rPr>
        <w:t xml:space="preserve">Esta estrutura é uma convenção amplamente usada na indústria. Seguindo-a, qualquer programador que veja o teu projeto vai saber imediatamente onde encontrar cada coisa.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2026-03-27T10:24:53.303Z</dcterms:created>
  <dcterms:modified xsi:type="dcterms:W3CDTF">2026-03-27T10:24:53.304Z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