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甲方：星河科技有限公司</w:t>
      </w:r>
    </w:p>
    <w:p>
      <w:r>
        <w:t>乙方：云帆服务有限公司</w:t>
      </w:r>
    </w:p>
    <w:p/>
    <w:p>
      <w:r>
        <w:t>一、服务内容</w:t>
      </w:r>
    </w:p>
    <w:p>
      <w:r>
        <w:t>乙方为甲方提供系统运维服务。</w:t>
      </w:r>
    </w:p>
    <w:p/>
    <w:p>
      <w:r>
        <w:t>二、付款方式</w:t>
      </w:r>
    </w:p>
    <w:p>
      <w:r>
        <w:t>甲方应在验收通过后30日内支付全部服务费，但合同未明确验收标准，也未约定逾期付款责任。</w:t>
      </w:r>
    </w:p>
    <w:p/>
    <w:p>
      <w:r>
        <w:t>三、违约责任</w:t>
      </w:r>
    </w:p>
    <w:p>
      <w:r>
        <w:t>任何一方违约应承担损失，但未明确赔偿上限。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