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 w:before="0" w:after="0"/>
        <w:jc w:val="center"/>
        <w:rPr/>
      </w:pPr>
      <w:r>
        <w:rPr>
          <w:rFonts w:eastAsia="Times New Roman"/>
          <w:b/>
          <w:sz w:val="28"/>
          <w:szCs w:val="28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lang w:val="ru-RU"/>
        </w:rPr>
      </w:pPr>
      <w:r>
        <w:rPr>
          <w:rFonts w:eastAsia="Times New Roman"/>
          <w:b/>
          <w:sz w:val="28"/>
          <w:szCs w:val="28"/>
        </w:rPr>
        <w:t>Лабораторна робота №</w:t>
      </w:r>
      <w:r>
        <w:rPr>
          <w:rFonts w:eastAsia="Times New Roman"/>
          <w:b/>
          <w:sz w:val="28"/>
          <w:szCs w:val="28"/>
          <w:lang w:val="ru-RU"/>
        </w:rPr>
        <w:t>4</w:t>
      </w:r>
    </w:p>
    <w:p>
      <w:pPr>
        <w:pStyle w:val="Normal"/>
        <w:spacing w:lineRule="auto" w:line="288" w:before="0" w:after="0"/>
        <w:jc w:val="center"/>
        <w:rPr/>
      </w:pPr>
      <w:r>
        <w:rPr>
          <w:rFonts w:eastAsia="Times New Roman"/>
          <w:sz w:val="28"/>
          <w:szCs w:val="28"/>
        </w:rPr>
        <w:t>з дисципліни</w:t>
        <w:br/>
        <w:t>«Фізичні основи комп’ютерних систем»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Виконав:</w:t>
        <w:tab/>
        <w:tab/>
        <w:tab/>
        <w:t xml:space="preserve">                                                </w:t>
      </w:r>
    </w:p>
    <w:p>
      <w:pPr>
        <w:pStyle w:val="Normal"/>
        <w:spacing w:lineRule="auto" w:line="288" w:before="0" w:after="0"/>
        <w:rPr/>
      </w:pPr>
      <w:r>
        <w:rPr>
          <w:rFonts w:eastAsia="Times New Roman"/>
          <w:sz w:val="28"/>
          <w:szCs w:val="28"/>
        </w:rPr>
        <w:t>студент групи ІМ-44</w:t>
        <w:tab/>
        <w:tab/>
        <w:t xml:space="preserve">                                       </w:t>
        <w:br/>
        <w:t xml:space="preserve">Цебринський Назар Андрійович  </w:t>
        <w:br/>
        <w:t>номер в списку групи: 29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Київ 2026</w:t>
      </w:r>
    </w:p>
    <w:p>
      <w:pPr>
        <w:pStyle w:val="Normal"/>
        <w:spacing w:lineRule="auto" w:line="288" w:before="0" w:after="0"/>
        <w:ind w:firstLine="567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Тема:</w:t>
      </w:r>
      <w:r>
        <w:rPr>
          <w:rFonts w:eastAsia="Times New Roman" w:ascii="Times New Roman" w:hAnsi="Times New Roman"/>
          <w:sz w:val="28"/>
          <w:szCs w:val="28"/>
        </w:rPr>
        <w:t xml:space="preserve"> Вивчення спектра випромінювання атома водню. </w:t>
      </w:r>
    </w:p>
    <w:p>
      <w:pPr>
        <w:pStyle w:val="Normal"/>
        <w:spacing w:lineRule="auto" w:line="288" w:before="0" w:after="0"/>
        <w:ind w:firstLine="567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Мета роботи:</w:t>
      </w:r>
      <w:r>
        <w:rPr>
          <w:rFonts w:eastAsia="Times New Roman" w:ascii="Times New Roman" w:hAnsi="Times New Roman"/>
          <w:sz w:val="28"/>
          <w:szCs w:val="28"/>
        </w:rPr>
        <w:t xml:space="preserve"> вивчення спектра випромінювання атома водню у видимій області.</w:t>
      </w:r>
    </w:p>
    <w:p>
      <w:pPr>
        <w:pStyle w:val="Normal"/>
        <w:spacing w:lineRule="auto" w:line="288" w:before="0" w:after="0"/>
        <w:ind w:firstLine="567"/>
        <w:jc w:val="center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Основні теоретичні відомості:</w:t>
      </w:r>
    </w:p>
    <w:p>
      <w:pPr>
        <w:pStyle w:val="Normal"/>
        <w:spacing w:lineRule="auto" w:line="288" w:before="0" w:after="0"/>
        <w:ind w:firstLine="567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3"/>
        <w:spacing w:lineRule="auto" w:line="288" w:before="0" w:after="0"/>
        <w:ind w:hanging="0" w:start="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Природа спектрів та квантова механіка</w:t>
      </w:r>
    </w:p>
    <w:p>
      <w:pPr>
        <w:pStyle w:val="BodyText"/>
        <w:spacing w:lineRule="auto" w:line="288"/>
        <w:ind w:hanging="0" w:start="0" w:end="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bookmarkStart w:id="0" w:name="p-rc_ae6b149053c78e59-101"/>
      <w:bookmarkEnd w:id="0"/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З досліду відомо, що спектри випромінювання й поглинання атомів, які не взаємодіють між собою, є лінійчатими, тобто складаються з окремих вузьких смуг. Частоти (довжини хвиль) та інтенсивності цих ліній визначаються внутрішньою будовою атома і є суворо індивідуальними для кожного сорту атомів. Саме на цьому ґрунтується спектральний аналіз — метод визначення хімічного складу речовини за її оптичним спектром.</w:t>
      </w:r>
    </w:p>
    <w:p>
      <w:pPr>
        <w:pStyle w:val="Heading3"/>
        <w:spacing w:lineRule="auto" w:line="288" w:before="0" w:after="0"/>
        <w:ind w:hanging="0" w:start="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Квантові числа та енергетичні стани</w:t>
      </w:r>
    </w:p>
    <w:p>
      <w:pPr>
        <w:pStyle w:val="BodyText"/>
        <w:spacing w:lineRule="auto" w:line="288"/>
        <w:ind w:hanging="0" w:start="0" w:end="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bookmarkStart w:id="1" w:name="p-rc_ae6b149053c78e59-103"/>
      <w:bookmarkEnd w:id="1"/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Стан електрона в атомі водню визначається набором квантових чисел:</w:t>
      </w:r>
    </w:p>
    <w:p>
      <w:pPr>
        <w:pStyle w:val="BodyText"/>
        <w:numPr>
          <w:ilvl w:val="0"/>
          <w:numId w:val="1"/>
        </w:numPr>
        <w:spacing w:lineRule="auto" w:line="288" w:before="0" w:after="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bookmarkStart w:id="2" w:name="p-rc_ae6b149053c78e59-104"/>
      <w:bookmarkStart w:id="3" w:name="p-rc_ae6b149053c78e59-103_Copy_1"/>
      <w:bookmarkEnd w:id="2"/>
      <w:bookmarkEnd w:id="3"/>
      <w:r>
        <w:rPr>
          <w:rFonts w:eastAsia="Times New Roman" w:ascii="Times New Roman" w:hAnsi="Times New Roman"/>
          <w:b/>
          <w:color w:val="000000"/>
          <w:sz w:val="28"/>
          <w:szCs w:val="28"/>
          <w:lang w:eastAsia="ru-RU"/>
        </w:rPr>
        <w:t>Головне квантове число</w:t>
      </w: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 xml:space="preserve"> n=1,2,3....</w:t>
      </w:r>
    </w:p>
    <w:p>
      <w:pPr>
        <w:pStyle w:val="Normal"/>
        <w:numPr>
          <w:ilvl w:val="0"/>
          <w:numId w:val="1"/>
        </w:numPr>
        <w:spacing w:lineRule="auto" w:line="288" w:before="0" w:after="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color w:val="000000"/>
          <w:sz w:val="28"/>
          <w:szCs w:val="28"/>
          <w:lang w:eastAsia="ru-RU"/>
        </w:rPr>
        <w:t>Орбітальне квантове число</w:t>
      </w: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 xml:space="preserve"> l=0,1,2...(n−1).</w:t>
      </w:r>
    </w:p>
    <w:p>
      <w:pPr>
        <w:pStyle w:val="Normal"/>
        <w:numPr>
          <w:ilvl w:val="0"/>
          <w:numId w:val="1"/>
        </w:numPr>
        <w:spacing w:lineRule="auto" w:line="288" w:before="0" w:after="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color w:val="000000"/>
          <w:sz w:val="28"/>
          <w:szCs w:val="28"/>
          <w:lang w:eastAsia="ru-RU"/>
        </w:rPr>
        <w:t>Магнітне квантове число</w:t>
      </w: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 xml:space="preserve"> m=0,±1,±2...±l.</w:t>
      </w:r>
    </w:p>
    <w:p>
      <w:pPr>
        <w:pStyle w:val="Normal"/>
        <w:numPr>
          <w:ilvl w:val="0"/>
          <w:numId w:val="1"/>
        </w:numPr>
        <w:spacing w:lineRule="auto" w:line="288" w:before="0" w:after="0"/>
        <w:jc w:val="both"/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color w:val="000000"/>
          <w:sz w:val="28"/>
          <w:szCs w:val="28"/>
          <w:lang w:eastAsia="ru-RU"/>
        </w:rPr>
        <w:t>Існує також спін електрона (ms​=±1/2), який вимагає врахування ще одного квантового числа, хоча це не розглядається безпосередньо в механіці Шрьодінгера.</w:t>
      </w:r>
    </w:p>
    <w:p>
      <w:pPr>
        <w:pStyle w:val="BodyText"/>
        <w:spacing w:lineRule="auto" w:line="288" w:before="0" w:after="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Кожен можливий набір цих чисел відповідає певній хвильовій функції, що визначає щільність імовірності перебування електрона в просторі. Енергія квантових станів залежить тільки від головного квантового числа n:</w:t>
      </w:r>
    </w:p>
    <w:p>
      <w:pPr>
        <w:pStyle w:val="BodyText"/>
        <w:spacing w:lineRule="auto" w:line="288" w:before="0" w:after="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51990" cy="7143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990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BodyText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BodyText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При збільшенні n енергія атома зростає, а енергетичні рівні розміщуються все щільніше. Якщо n→∞, то енергія E→0, і утворюється неперервний спектр енергій (E≥0), що відповідає іонізованому стану атома. Енергія іонізації атома водню дорівнює 13,6 еВ.</w:t>
      </w:r>
    </w:p>
    <w:p>
      <w:pPr>
        <w:pStyle w:val="Heading3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Механізм випромінювання та формула Бальмера</w:t>
      </w:r>
    </w:p>
    <w:p>
      <w:pPr>
        <w:pStyle w:val="BodyText"/>
        <w:spacing w:lineRule="auto" w:line="288"/>
        <w:ind w:hanging="0" w:start="0" w:end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bookmarkStart w:id="4" w:name="p-rc_ae6b149053c78e59-111"/>
      <w:bookmarkEnd w:id="4"/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За квантовою теорією, при переході атома зі стану з вищою енергією En​ у стан із нижчою енергією Em​ випромінюється фотон із енергією ℏωnm​=En​−Em​. Тому у спектрі атома водню спостерігаються дискретні частоти (спектральні лінії).</w:t>
      </w:r>
    </w:p>
    <w:p>
      <w:pPr>
        <w:pStyle w:val="BodyText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Частота цих ліній описується </w:t>
      </w: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узагальненою формулою Бальмера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:</w:t>
      </w:r>
    </w:p>
    <w:p>
      <w:pPr>
        <w:pStyle w:val="BodyText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23390" cy="6286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39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BodyText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де R — стала Рідберга (2,07⋅10^16 с^−1)</w:t>
      </w:r>
    </w:p>
    <w:p>
      <w:pPr>
        <w:pStyle w:val="BodyText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Heading3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Спектральні серії водню</w:t>
      </w:r>
    </w:p>
    <w:p>
      <w:pPr>
        <w:pStyle w:val="BodyText"/>
        <w:spacing w:lineRule="auto" w:line="288"/>
        <w:ind w:hanging="0" w:start="0" w:end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bookmarkStart w:id="5" w:name="p-rc_ae6b149053c78e59-114"/>
      <w:bookmarkEnd w:id="5"/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Усі лінії у спектрі атома водню діляться на групи, які називаються спектральними серіями. Серія залежить від того, на який рівень (m) переходить електрон:</w:t>
      </w:r>
    </w:p>
    <w:p>
      <w:pPr>
        <w:pStyle w:val="Normal"/>
        <w:numPr>
          <w:ilvl w:val="0"/>
          <w:numId w:val="3"/>
        </w:numPr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Серія Лаймана: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 усі переходи на рівень m=1. Ці лінії знаходяться в ультрафіолетовій області спектра.</w:t>
      </w:r>
    </w:p>
    <w:p>
      <w:pPr>
        <w:pStyle w:val="Normal"/>
        <w:numPr>
          <w:ilvl w:val="0"/>
          <w:numId w:val="3"/>
        </w:numPr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Серія Бальмера: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 усі переходи на рівень m=2. Містить декілька ліній у видимій області, котрі можна спостерігати візуально.</w:t>
      </w:r>
    </w:p>
    <w:p>
      <w:pPr>
        <w:pStyle w:val="Normal"/>
        <w:numPr>
          <w:ilvl w:val="0"/>
          <w:numId w:val="3"/>
        </w:numPr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Серія Пашена: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 усі переходи на рівень m=3. Відповідає інфрачервоній області спектра.</w:t>
      </w:r>
    </w:p>
    <w:p>
      <w:pPr>
        <w:pStyle w:val="Heading3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Особливості серії Бальмера (видимий спектр)</w:t>
      </w:r>
    </w:p>
    <w:p>
      <w:pPr>
        <w:pStyle w:val="BodyText"/>
        <w:spacing w:lineRule="auto" w:line="288"/>
        <w:ind w:hanging="0" w:start="0" w:end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bookmarkStart w:id="6" w:name="p-rc_ae6b149053c78e59-118"/>
      <w:bookmarkEnd w:id="6"/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Спектральні лінії серії Бальмера прийнято позначати символом водню H з індексами в порядку зростання числа n та частоти:</w:t>
      </w:r>
    </w:p>
    <w:p>
      <w:pPr>
        <w:pStyle w:val="Normal"/>
        <w:numPr>
          <w:ilvl w:val="0"/>
          <w:numId w:val="2"/>
        </w:numPr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Hα​ (перехід з n=3).</w:t>
      </w:r>
    </w:p>
    <w:p>
      <w:pPr>
        <w:pStyle w:val="Normal"/>
        <w:numPr>
          <w:ilvl w:val="0"/>
          <w:numId w:val="2"/>
        </w:numPr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Hβ​ (перехід з n=4).</w:t>
      </w:r>
    </w:p>
    <w:p>
      <w:pPr>
        <w:pStyle w:val="BodyText"/>
        <w:numPr>
          <w:ilvl w:val="0"/>
          <w:numId w:val="2"/>
        </w:numPr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Hγ​ (перехід з n=5).</w:t>
      </w:r>
    </w:p>
    <w:p>
      <w:pPr>
        <w:pStyle w:val="Normal"/>
        <w:numPr>
          <w:ilvl w:val="0"/>
          <w:numId w:val="2"/>
        </w:numPr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Hδ​ (перехід з n=6).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Під час експерименту з газорозрядною лампою атоми водню випромінюють ці спектральні лінії на тлі молекулярного спектра H2​. Молекулярний спектр має вигляд широких смуг із близько розміщених і слабких ліній. Проте атомні лінії (особливо Hα​, Hβ​, Hγ​) розрізнити легко, оскільки вони яскравіші і розміщені далеко одна від одної.</w:t>
      </w:r>
    </w:p>
    <w:p>
      <w:pPr>
        <w:pStyle w:val="BodyText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BodyText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BodyText"/>
        <w:spacing w:lineRule="auto" w:line="288" w:before="0" w:after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Порядок виконання роботи:</w:t>
      </w:r>
    </w:p>
    <w:p>
      <w:pPr>
        <w:pStyle w:val="BodyText"/>
        <w:spacing w:lineRule="auto" w:line="288" w:before="0" w:after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BodyText"/>
        <w:spacing w:lineRule="auto" w:line="288" w:before="0" w:after="0"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872426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724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  <w:t>Виконання роботи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8315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3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tbl>
      <w:tblPr>
        <w:tblW w:w="820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80"/>
        <w:gridCol w:w="608"/>
        <w:gridCol w:w="609"/>
        <w:gridCol w:w="609"/>
        <w:gridCol w:w="609"/>
        <w:gridCol w:w="610"/>
        <w:gridCol w:w="609"/>
        <w:gridCol w:w="609"/>
        <w:gridCol w:w="608"/>
        <w:gridCol w:w="655"/>
      </w:tblGrid>
      <w:tr>
        <w:trPr>
          <w:tblHeader w:val="true"/>
        </w:trPr>
        <w:tc>
          <w:tcPr>
            <w:tcW w:w="26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Довжина хвилі λ, A˚</w:t>
            </w:r>
          </w:p>
        </w:tc>
        <w:tc>
          <w:tcPr>
            <w:tcW w:w="6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6907</w:t>
            </w:r>
          </w:p>
        </w:tc>
        <w:tc>
          <w:tcPr>
            <w:tcW w:w="6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5791</w:t>
            </w:r>
          </w:p>
        </w:tc>
        <w:tc>
          <w:tcPr>
            <w:tcW w:w="6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5770</w:t>
            </w:r>
          </w:p>
        </w:tc>
        <w:tc>
          <w:tcPr>
            <w:tcW w:w="6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5461</w:t>
            </w:r>
          </w:p>
        </w:tc>
        <w:tc>
          <w:tcPr>
            <w:tcW w:w="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4916</w:t>
            </w:r>
          </w:p>
        </w:tc>
        <w:tc>
          <w:tcPr>
            <w:tcW w:w="6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4358</w:t>
            </w:r>
          </w:p>
        </w:tc>
        <w:tc>
          <w:tcPr>
            <w:tcW w:w="6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4348</w:t>
            </w:r>
          </w:p>
        </w:tc>
        <w:tc>
          <w:tcPr>
            <w:tcW w:w="6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4339</w:t>
            </w:r>
          </w:p>
        </w:tc>
        <w:tc>
          <w:tcPr>
            <w:tcW w:w="6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4046</w:t>
            </w:r>
          </w:p>
        </w:tc>
      </w:tr>
      <w:tr>
        <w:trPr/>
        <w:tc>
          <w:tcPr>
            <w:tcW w:w="26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Поділки барабана N</w:t>
            </w:r>
          </w:p>
        </w:tc>
        <w:tc>
          <w:tcPr>
            <w:tcW w:w="6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3328</w:t>
            </w:r>
          </w:p>
        </w:tc>
        <w:tc>
          <w:tcPr>
            <w:tcW w:w="6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2884</w:t>
            </w:r>
          </w:p>
        </w:tc>
        <w:tc>
          <w:tcPr>
            <w:tcW w:w="6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2882</w:t>
            </w:r>
          </w:p>
        </w:tc>
        <w:tc>
          <w:tcPr>
            <w:tcW w:w="6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2696</w:t>
            </w:r>
          </w:p>
        </w:tc>
        <w:tc>
          <w:tcPr>
            <w:tcW w:w="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2576</w:t>
            </w:r>
          </w:p>
        </w:tc>
        <w:tc>
          <w:tcPr>
            <w:tcW w:w="6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1610</w:t>
            </w:r>
          </w:p>
        </w:tc>
        <w:tc>
          <w:tcPr>
            <w:tcW w:w="6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1594</w:t>
            </w:r>
          </w:p>
        </w:tc>
        <w:tc>
          <w:tcPr>
            <w:tcW w:w="6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1580</w:t>
            </w:r>
          </w:p>
        </w:tc>
        <w:tc>
          <w:tcPr>
            <w:tcW w:w="6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1054</w:t>
            </w:r>
          </w:p>
        </w:tc>
      </w:tr>
    </w:tbl>
    <w:p>
      <w:pPr>
        <w:pStyle w:val="Normal"/>
        <w:spacing w:lineRule="auto" w:line="288" w:before="0" w:after="0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Heading3"/>
        <w:spacing w:lineRule="auto" w:line="288" w:before="0" w:after="0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" w:ascii="Times New Roman" w:hAnsi="Times New Roman" w:eastAsiaTheme="minorEastAsia"/>
          <w:sz w:val="28"/>
          <w:szCs w:val="28"/>
          <w:lang w:eastAsia="ru-RU"/>
        </w:rPr>
        <w:t>2. Результати дослідження спектра водню</w:t>
      </w:r>
    </w:p>
    <w:p>
      <w:pPr>
        <w:pStyle w:val="BodyText"/>
        <w:spacing w:lineRule="auto" w:line="288"/>
        <w:ind w:hanging="0" w:start="0" w:end="0"/>
        <w:rPr>
          <w:rFonts w:ascii="Times New Roman" w:hAnsi="Times New Roman" w:eastAsia="" w:eastAsiaTheme="minorEastAsia"/>
          <w:sz w:val="28"/>
          <w:szCs w:val="28"/>
          <w:lang w:eastAsia="ru-RU"/>
        </w:rPr>
      </w:pPr>
      <w:bookmarkStart w:id="7" w:name="p-rc_6e1007924641fb88-173"/>
      <w:bookmarkEnd w:id="7"/>
      <w:r>
        <w:rPr>
          <w:rFonts w:eastAsia="" w:ascii="Times New Roman" w:hAnsi="Times New Roman" w:eastAsiaTheme="minorEastAsia"/>
          <w:sz w:val="28"/>
          <w:szCs w:val="28"/>
          <w:lang w:eastAsia="ru-RU"/>
        </w:rPr>
        <w:t>За допомогою побудованого градуювального графіка було визначено довжини хвиль для ліній випромінювання атомів водню.</w:t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tbl>
      <w:tblPr>
        <w:tblW w:w="696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533"/>
        <w:gridCol w:w="794"/>
        <w:gridCol w:w="795"/>
        <w:gridCol w:w="839"/>
      </w:tblGrid>
      <w:tr>
        <w:trPr>
          <w:tblHeader w:val="true"/>
        </w:trPr>
        <w:tc>
          <w:tcPr>
            <w:tcW w:w="45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Назва лінії</w:t>
            </w:r>
          </w:p>
        </w:tc>
        <w:tc>
          <w:tcPr>
            <w:tcW w:w="7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Hα​</w:t>
            </w:r>
          </w:p>
        </w:tc>
        <w:tc>
          <w:tcPr>
            <w:tcW w:w="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Hβ​</w:t>
            </w:r>
          </w:p>
        </w:tc>
        <w:tc>
          <w:tcPr>
            <w:tcW w:w="8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Hγ​</w:t>
            </w:r>
          </w:p>
        </w:tc>
      </w:tr>
      <w:tr>
        <w:trPr/>
        <w:tc>
          <w:tcPr>
            <w:tcW w:w="45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" w:eastAsiaTheme="minorEastAsia"/>
                <w:sz w:val="28"/>
                <w:szCs w:val="28"/>
                <w:lang w:eastAsia="ru-RU"/>
              </w:rPr>
            </w:pPr>
            <w:r>
              <w:rPr>
                <w:rFonts w:eastAsia="" w:ascii="Google Sans Text;sans-serif" w:hAnsi="Google Sans Text;sans-serif" w:eastAsiaTheme="minorEastAsia"/>
                <w:b/>
                <w:sz w:val="28"/>
                <w:szCs w:val="28"/>
                <w:lang w:eastAsia="ru-RU"/>
              </w:rPr>
              <w:t>N’</w:t>
            </w:r>
          </w:p>
        </w:tc>
        <w:tc>
          <w:tcPr>
            <w:tcW w:w="7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3216</w:t>
            </w:r>
          </w:p>
        </w:tc>
        <w:tc>
          <w:tcPr>
            <w:tcW w:w="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2210</w:t>
            </w:r>
          </w:p>
        </w:tc>
        <w:tc>
          <w:tcPr>
            <w:tcW w:w="8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1586</w:t>
            </w:r>
          </w:p>
        </w:tc>
      </w:tr>
      <w:tr>
        <w:trPr/>
        <w:tc>
          <w:tcPr>
            <w:tcW w:w="45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" w:eastAsiaTheme="minorEastAsia"/>
                <w:sz w:val="28"/>
                <w:szCs w:val="28"/>
                <w:lang w:eastAsia="ru-RU"/>
              </w:rPr>
            </w:pPr>
            <w:r>
              <w:rPr>
                <w:rFonts w:eastAsia="" w:ascii="Google Sans Text;sans-serif" w:hAnsi="Google Sans Text;sans-serif" w:eastAsiaTheme="minorEastAsia"/>
                <w:sz w:val="28"/>
                <w:szCs w:val="28"/>
                <w:lang w:eastAsia="ru-RU"/>
              </w:rPr>
              <w:t>λ, A˚</w:t>
            </w:r>
          </w:p>
        </w:tc>
        <w:tc>
          <w:tcPr>
            <w:tcW w:w="7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6583</w:t>
            </w:r>
          </w:p>
        </w:tc>
        <w:tc>
          <w:tcPr>
            <w:tcW w:w="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4721</w:t>
            </w:r>
          </w:p>
        </w:tc>
        <w:tc>
          <w:tcPr>
            <w:tcW w:w="8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4327</w:t>
            </w:r>
          </w:p>
        </w:tc>
      </w:tr>
      <w:tr>
        <w:trPr/>
        <w:tc>
          <w:tcPr>
            <w:tcW w:w="45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" w:eastAsiaTheme="minorEastAsia"/>
                <w:sz w:val="28"/>
                <w:szCs w:val="28"/>
                <w:lang w:eastAsia="ru-RU"/>
              </w:rPr>
            </w:pPr>
            <w:r>
              <w:rPr>
                <w:rFonts w:eastAsia="" w:ascii="Google Sans Text;sans-serif" w:hAnsi="Google Sans Text;sans-serif" w:eastAsiaTheme="minorEastAsia"/>
                <w:b/>
                <w:sz w:val="28"/>
                <w:szCs w:val="28"/>
                <w:lang w:eastAsia="ru-RU"/>
              </w:rPr>
              <w:t>k</w:t>
            </w:r>
            <w:r>
              <w:rPr>
                <w:rFonts w:eastAsia="" w:ascii="Google Sans Text;sans-serif" w:hAnsi="Google Sans Text;sans-serif" w:eastAsiaTheme="minorEastAsia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7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2,99</w:t>
            </w:r>
          </w:p>
        </w:tc>
        <w:tc>
          <w:tcPr>
            <w:tcW w:w="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4,19</w:t>
            </w:r>
          </w:p>
        </w:tc>
        <w:tc>
          <w:tcPr>
            <w:tcW w:w="8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5,04</w:t>
            </w:r>
          </w:p>
        </w:tc>
      </w:tr>
      <w:tr>
        <w:trPr/>
        <w:tc>
          <w:tcPr>
            <w:tcW w:w="45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" w:eastAsiaTheme="minorEastAsia"/>
                <w:sz w:val="28"/>
                <w:szCs w:val="28"/>
                <w:lang w:eastAsia="ru-RU"/>
              </w:rPr>
            </w:pPr>
            <w:r>
              <w:rPr>
                <w:rFonts w:eastAsia="" w:ascii="Google Sans Text;sans-serif" w:hAnsi="Google Sans Text;sans-serif" w:eastAsiaTheme="minorEastAsia"/>
                <w:b/>
                <w:sz w:val="28"/>
                <w:szCs w:val="28"/>
                <w:lang w:eastAsia="ru-RU"/>
              </w:rPr>
              <w:t xml:space="preserve">k округл. </w:t>
            </w:r>
            <w:r>
              <w:rPr>
                <w:rFonts w:eastAsia="" w:ascii="Google Sans Text;sans-serif" w:hAnsi="Google Sans Text;sans-serif" w:eastAsiaTheme="minorEastAsia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7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</w:t>
            </w:r>
          </w:p>
        </w:tc>
        <w:tc>
          <w:tcPr>
            <w:tcW w:w="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</w:t>
            </w:r>
          </w:p>
        </w:tc>
        <w:tc>
          <w:tcPr>
            <w:tcW w:w="8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5</w:t>
            </w:r>
          </w:p>
        </w:tc>
      </w:tr>
      <w:tr>
        <w:trPr/>
        <w:tc>
          <w:tcPr>
            <w:tcW w:w="45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" w:eastAsiaTheme="minorEastAsia"/>
                <w:sz w:val="28"/>
                <w:szCs w:val="28"/>
                <w:lang w:eastAsia="ru-RU"/>
              </w:rPr>
            </w:pPr>
            <w:r>
              <w:rPr>
                <w:rFonts w:eastAsia="" w:ascii="Google Sans Text;sans-serif" w:hAnsi="Google Sans Text;sans-serif" w:eastAsiaTheme="minorEastAsia"/>
                <w:b/>
                <w:sz w:val="28"/>
                <w:szCs w:val="28"/>
                <w:lang w:eastAsia="ru-RU"/>
              </w:rPr>
              <w:t xml:space="preserve">δk, % </w:t>
            </w:r>
          </w:p>
        </w:tc>
        <w:tc>
          <w:tcPr>
            <w:tcW w:w="7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0,21</w:t>
            </w:r>
          </w:p>
        </w:tc>
        <w:tc>
          <w:tcPr>
            <w:tcW w:w="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4,74</w:t>
            </w:r>
          </w:p>
        </w:tc>
        <w:tc>
          <w:tcPr>
            <w:tcW w:w="8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0,76</w:t>
            </w:r>
          </w:p>
        </w:tc>
      </w:tr>
      <w:tr>
        <w:trPr/>
        <w:tc>
          <w:tcPr>
            <w:tcW w:w="45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" w:eastAsiaTheme="minorEastAsia"/>
                <w:sz w:val="28"/>
                <w:szCs w:val="28"/>
                <w:lang w:eastAsia="ru-RU"/>
              </w:rPr>
            </w:pPr>
            <w:r>
              <w:rPr>
                <w:rFonts w:eastAsia="" w:ascii="Google Sans Text;sans-serif" w:hAnsi="Google Sans Text;sans-serif" w:eastAsiaTheme="minorEastAsia"/>
                <w:b/>
                <w:sz w:val="28"/>
                <w:szCs w:val="28"/>
                <w:lang w:eastAsia="ru-RU"/>
              </w:rPr>
              <w:t xml:space="preserve">λteop​, A˚ </w:t>
            </w:r>
            <w:r>
              <w:rPr>
                <w:rFonts w:eastAsia="" w:ascii="Google Sans Text;sans-serif" w:hAnsi="Google Sans Text;sans-serif" w:eastAsiaTheme="minorEastAsia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7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6561,1</w:t>
            </w:r>
          </w:p>
        </w:tc>
        <w:tc>
          <w:tcPr>
            <w:tcW w:w="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4860,1</w:t>
            </w:r>
          </w:p>
        </w:tc>
        <w:tc>
          <w:tcPr>
            <w:tcW w:w="8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4339,4</w:t>
            </w:r>
          </w:p>
        </w:tc>
      </w:tr>
      <w:tr>
        <w:trPr/>
        <w:tc>
          <w:tcPr>
            <w:tcW w:w="45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" w:eastAsiaTheme="minorEastAsia"/>
                <w:sz w:val="28"/>
                <w:szCs w:val="28"/>
                <w:lang w:eastAsia="ru-RU"/>
              </w:rPr>
            </w:pPr>
            <w:r>
              <w:rPr>
                <w:rFonts w:eastAsia="" w:ascii="Google Sans Text;sans-serif" w:hAnsi="Google Sans Text;sans-serif" w:eastAsiaTheme="minorEastAsia"/>
                <w:b/>
                <w:sz w:val="28"/>
                <w:szCs w:val="28"/>
                <w:lang w:eastAsia="ru-RU"/>
              </w:rPr>
              <w:t>δλ, %</w:t>
            </w:r>
            <w:r>
              <w:rPr>
                <w:rFonts w:eastAsia="" w:ascii="Google Sans Text;sans-serif" w:hAnsi="Google Sans Text;sans-serif" w:eastAsiaTheme="minorEastAsia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7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0,33</w:t>
            </w:r>
          </w:p>
        </w:tc>
        <w:tc>
          <w:tcPr>
            <w:tcW w:w="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2,86</w:t>
            </w:r>
          </w:p>
        </w:tc>
        <w:tc>
          <w:tcPr>
            <w:tcW w:w="8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0,29</w:t>
            </w:r>
          </w:p>
        </w:tc>
      </w:tr>
    </w:tbl>
    <w:p>
      <w:pPr>
        <w:pStyle w:val="Normal"/>
        <w:spacing w:lineRule="auto" w:line="288" w:before="0" w:after="0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  <w:t>Розрахункові формули та обчислення:</w:t>
      </w:r>
    </w:p>
    <w:p>
      <w:pPr>
        <w:pStyle w:val="Normal"/>
        <w:spacing w:lineRule="auto" w:line="288" w:before="0" w:after="0"/>
        <w:jc w:val="start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  <w:t>Експериментальне головне квантове число k:</w:t>
      </w:r>
    </w:p>
    <w:p>
      <w:pPr>
        <w:pStyle w:val="Normal"/>
        <w:spacing w:lineRule="auto" w:line="288" w:before="0" w:after="0"/>
        <w:jc w:val="start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k</m:t>
          </m:r>
          <m:r>
            <m:rPr>
              <m:lit/>
              <m:nor/>
            </m:rPr>
            <m:t xml:space="preserve">=</m:t>
          </m:r>
          <m:f>
            <m:num>
              <m:r>
                <m:t xml:space="preserve"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 xml:space="preserve">0,25</m:t>
                  </m:r>
                  <m:r>
                    <m:t xml:space="preserve">−</m:t>
                  </m:r>
                  <m:f>
                    <m:num>
                      <m:r>
                        <m:t xml:space="preserve">1000</m:t>
                      </m:r>
                    </m:num>
                    <m:den>
                      <m:r>
                        <m:t xml:space="preserve">λ</m:t>
                      </m:r>
                      <m:r>
                        <m:t xml:space="preserve">⋅</m:t>
                      </m:r>
                      <m:sSub>
                        <m:e>
                          <m:r>
                            <m:t xml:space="preserve">R</m:t>
                          </m:r>
                        </m:e>
                        <m:sub>
                          <m:r>
                            <m:t xml:space="preserve">λ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Normal"/>
        <w:spacing w:lineRule="auto" w:line="288" w:before="0" w:after="0"/>
        <w:jc w:val="start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k</m:t>
          </m:r>
          <m:r>
            <m:rPr>
              <m:lit/>
              <m:nor/>
            </m:rPr>
            <m:t xml:space="preserve">=</m:t>
          </m:r>
          <m:f>
            <m:num>
              <m:r>
                <m:t xml:space="preserve"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 xml:space="preserve">0,25</m:t>
                  </m:r>
                  <m:r>
                    <m:t xml:space="preserve">−</m:t>
                  </m:r>
                  <m:f>
                    <m:num>
                      <m:r>
                        <m:t xml:space="preserve">1000</m:t>
                      </m:r>
                    </m:num>
                    <m:den>
                      <m:r>
                        <m:t xml:space="preserve">6583</m:t>
                      </m:r>
                      <m:r>
                        <m:t xml:space="preserve">⋅</m:t>
                      </m:r>
                      <m:r>
                        <m:t xml:space="preserve">1,09737</m:t>
                      </m:r>
                    </m:den>
                  </m:f>
                </m:e>
              </m:rad>
            </m:den>
          </m:f>
          <m:r>
            <m:rPr>
              <m:lit/>
              <m:nor/>
            </m:rPr>
            <m:t xml:space="preserve">=</m:t>
          </m:r>
          <m:f>
            <m:num>
              <m:r>
                <m:t xml:space="preserve"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 xml:space="preserve">0,25</m:t>
                  </m:r>
                  <m:r>
                    <m:t xml:space="preserve">−</m:t>
                  </m:r>
                  <m:r>
                    <m:t xml:space="preserve">0,13843</m:t>
                  </m:r>
                </m:e>
              </m:rad>
            </m:den>
          </m:f>
          <m:r>
            <m:rPr>
              <m:lit/>
              <m:nor/>
            </m:rPr>
            <m:t xml:space="preserve">=</m:t>
          </m:r>
          <m:r>
            <m:t xml:space="preserve">2,99</m:t>
          </m:r>
        </m:oMath>
      </m:oMathPara>
    </w:p>
    <w:p>
      <w:pPr>
        <w:pStyle w:val="Normal"/>
        <w:spacing w:lineRule="auto" w:line="288" w:before="0" w:after="0"/>
        <w:jc w:val="start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Округлене k = 3</w:t>
      </w:r>
    </w:p>
    <w:p>
      <w:pPr>
        <w:pStyle w:val="Normal"/>
        <w:spacing w:lineRule="auto" w:line="288" w:before="0" w:after="0"/>
        <w:jc w:val="start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  <w:t>Теоретична довжина хвилі:</w:t>
      </w:r>
    </w:p>
    <w:p>
      <w:pPr>
        <w:pStyle w:val="Normal"/>
        <w:spacing w:lineRule="auto" w:line="288" w:before="0" w:after="0"/>
        <w:jc w:val="start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λ</m:t>
              </m:r>
            </m:e>
            <m:sub>
              <m:r>
                <m:rPr>
                  <m:lit/>
                  <m:nor/>
                </m:rPr>
                <m:t xml:space="preserve">теор</m:t>
              </m:r>
            </m:sub>
          </m:sSub>
          <m:r>
            <m:rPr>
              <m:lit/>
              <m:nor/>
            </m:rPr>
            <m:t xml:space="preserve">=</m:t>
          </m:r>
          <m:f>
            <m:num>
              <m:r>
                <m:t xml:space="preserve">1000</m:t>
              </m:r>
            </m:num>
            <m:den>
              <m:sSub>
                <m:e>
                  <m:r>
                    <m:t xml:space="preserve">R</m:t>
                  </m:r>
                </m:e>
                <m:sub>
                  <m:r>
                    <m:t xml:space="preserve">λ</m:t>
                  </m:r>
                </m:sub>
              </m:sSub>
              <m:r>
                <m:t xml:space="preserve">⋅</m:t>
              </m:r>
              <m:d>
                <m:dPr>
                  <m:begChr m:val="("/>
                  <m:endChr m:val=")"/>
                </m:dPr>
                <m:e>
                  <m:r>
                    <m:t xml:space="preserve">0,25</m:t>
                  </m:r>
                  <m:r>
                    <m:t xml:space="preserve">−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sSubSup>
                        <m:e>
                          <m:r>
                            <m:t xml:space="preserve">k</m:t>
                          </m:r>
                        </m:e>
                        <m:sub>
                          <m:r>
                            <m:rPr>
                              <m:lit/>
                              <m:nor/>
                            </m:rPr>
                            <m:t xml:space="preserve">округл</m:t>
                          </m:r>
                        </m:sub>
                        <m:sup>
                          <m:r>
                            <m:t xml:space="preserve">2</m:t>
                          </m:r>
                        </m:sup>
                      </m:sSubSup>
                    </m:den>
                  </m:f>
                </m:e>
              </m:d>
            </m:den>
          </m:f>
        </m:oMath>
      </m:oMathPara>
    </w:p>
    <w:p>
      <w:pPr>
        <w:pStyle w:val="Normal"/>
        <w:spacing w:lineRule="auto" w:line="288" w:before="0" w:after="0"/>
        <w:jc w:val="start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λ</m:t>
              </m:r>
            </m:e>
            <m:sub>
              <m:r>
                <m:rPr>
                  <m:lit/>
                  <m:nor/>
                </m:rPr>
                <m:t xml:space="preserve">теор</m:t>
              </m:r>
            </m:sub>
          </m:sSub>
          <m:r>
            <m:rPr>
              <m:lit/>
              <m:nor/>
            </m:rPr>
            <m:t xml:space="preserve">=</m:t>
          </m:r>
          <m:f>
            <m:num>
              <m:r>
                <m:t xml:space="preserve">1000</m:t>
              </m:r>
            </m:num>
            <m:den>
              <m:r>
                <m:t xml:space="preserve">1,09737</m:t>
              </m:r>
              <m:r>
                <m:t xml:space="preserve">⋅</m:t>
              </m:r>
              <m:d>
                <m:dPr>
                  <m:begChr m:val="("/>
                  <m:endChr m:val=")"/>
                </m:dPr>
                <m:e>
                  <m:r>
                    <m:t xml:space="preserve">0,25</m:t>
                  </m:r>
                  <m:r>
                    <m:t xml:space="preserve">−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sSup>
                        <m:e>
                          <m:r>
                            <m:t xml:space="preserve">3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den>
                  </m:f>
                </m:e>
              </m:d>
            </m:den>
          </m:f>
          <m:r>
            <m:rPr>
              <m:lit/>
              <m:nor/>
            </m:rPr>
            <m:t xml:space="preserve">=</m:t>
          </m:r>
          <m:f>
            <m:num>
              <m:r>
                <m:t xml:space="preserve">1000</m:t>
              </m:r>
            </m:num>
            <m:den>
              <m:r>
                <m:t xml:space="preserve">1,09737</m:t>
              </m:r>
              <m:r>
                <m:t xml:space="preserve">⋅</m:t>
              </m:r>
              <m:d>
                <m:dPr>
                  <m:begChr m:val="("/>
                  <m:endChr m:val=")"/>
                </m:dPr>
                <m:e>
                  <m:r>
                    <m:t xml:space="preserve">0,25</m:t>
                  </m:r>
                  <m:r>
                    <m:t xml:space="preserve">−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9</m:t>
                      </m:r>
                    </m:den>
                  </m:f>
                </m:e>
              </m:d>
            </m:den>
          </m:f>
          <m:r>
            <m:rPr>
              <m:lit/>
              <m:nor/>
            </m:rPr>
            <m:t xml:space="preserve">=</m:t>
          </m:r>
          <m:r>
            <m:t xml:space="preserve">6561,1</m:t>
          </m:r>
          <m:r>
            <m:rPr>
              <m:lit/>
              <m:nor/>
            </m:rPr>
            <m:t xml:space="preserve"> Å</m:t>
          </m:r>
        </m:oMath>
      </m:oMathPara>
    </w:p>
    <w:p>
      <w:pPr>
        <w:pStyle w:val="Normal"/>
        <w:spacing w:lineRule="auto" w:line="288" w:before="0" w:after="0"/>
        <w:jc w:val="start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  <w:t xml:space="preserve">Відносна похибка обчислення квантового числа </w:t>
      </w:r>
      <w:r>
        <w:rPr>
          <w:rStyle w:val="SourceText"/>
          <w:rFonts w:ascii="Times New Roman" w:hAnsi="Times New Roman"/>
          <w:b/>
          <w:bCs/>
          <w:iCs/>
          <w:color w:val="000000"/>
          <w:sz w:val="28"/>
          <w:szCs w:val="28"/>
          <w:lang w:eastAsia="ru-RU"/>
        </w:rPr>
        <w:t>δk</w:t>
      </w: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  <w:t>:</w:t>
      </w:r>
    </w:p>
    <w:p>
      <w:pPr>
        <w:pStyle w:val="Normal"/>
        <w:spacing w:lineRule="auto" w:line="288" w:before="0" w:after="0"/>
        <w:jc w:val="start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δ</m:t>
          </m:r>
          <m:r>
            <m:t xml:space="preserve">k</m:t>
          </m:r>
          <m:r>
            <m:rPr>
              <m:lit/>
              <m:nor/>
            </m:rPr>
            <m:t xml:space="preserve">=</m:t>
          </m:r>
          <m:f>
            <m:num>
              <m:d>
                <m:dPr>
                  <m:begChr m:val="|"/>
                  <m:endChr m:val="|"/>
                </m:dPr>
                <m:e>
                  <m:r>
                    <m:t xml:space="preserve">k</m:t>
                  </m:r>
                  <m:r>
                    <m:t xml:space="preserve">−</m:t>
                  </m:r>
                  <m:sSub>
                    <m:e>
                      <m:r>
                        <m:t xml:space="preserve">k</m:t>
                      </m:r>
                    </m:e>
                    <m:sub>
                      <m:r>
                        <m:rPr>
                          <m:lit/>
                          <m:nor/>
                        </m:rPr>
                        <m:t xml:space="preserve">округл</m:t>
                      </m:r>
                    </m:sub>
                  </m:sSub>
                </m:e>
              </m:d>
            </m:num>
            <m:den>
              <m:sSub>
                <m:e>
                  <m:r>
                    <m:t xml:space="preserve">k</m:t>
                  </m:r>
                </m:e>
                <m:sub>
                  <m:r>
                    <m:rPr>
                      <m:lit/>
                      <m:nor/>
                    </m:rPr>
                    <m:t xml:space="preserve">округл</m:t>
                  </m:r>
                </m:sub>
              </m:sSub>
            </m:den>
          </m:f>
          <m:r>
            <m:t xml:space="preserve">⋅</m:t>
          </m:r>
          <m:r>
            <m:t xml:space="preserve">100</m:t>
          </m:r>
          <m:r>
            <m:rPr>
              <m:lit/>
              <m:nor/>
            </m:rPr>
            <m:t xml:space="preserve">%</m:t>
          </m:r>
        </m:oMath>
      </m:oMathPara>
    </w:p>
    <w:p>
      <w:pPr>
        <w:pStyle w:val="Normal"/>
        <w:spacing w:lineRule="auto" w:line="288" w:before="0" w:after="0"/>
        <w:jc w:val="start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δ</m:t>
          </m:r>
          <m:r>
            <m:t xml:space="preserve">k</m:t>
          </m:r>
          <m:r>
            <m:rPr>
              <m:lit/>
              <m:nor/>
            </m:rPr>
            <m:t xml:space="preserve">=</m:t>
          </m:r>
          <m:f>
            <m:num>
              <m:d>
                <m:dPr>
                  <m:begChr m:val="|"/>
                  <m:endChr m:val="|"/>
                </m:dPr>
                <m:e>
                  <m:r>
                    <m:t xml:space="preserve">2,99</m:t>
                  </m:r>
                  <m:r>
                    <m:t xml:space="preserve">−</m:t>
                  </m:r>
                  <m:r>
                    <m:t xml:space="preserve">3</m:t>
                  </m:r>
                </m:e>
              </m:d>
            </m:num>
            <m:den>
              <m:r>
                <m:t xml:space="preserve">3</m:t>
              </m:r>
            </m:den>
          </m:f>
          <m:r>
            <m:t xml:space="preserve">⋅</m:t>
          </m:r>
          <m:r>
            <m:t xml:space="preserve">100</m:t>
          </m:r>
          <m:r>
            <m:rPr>
              <m:lit/>
              <m:nor/>
            </m:rPr>
            <m:t xml:space="preserve">%</m:t>
          </m:r>
          <m:r>
            <m:rPr>
              <m:lit/>
              <m:nor/>
            </m:rPr>
            <m:t xml:space="preserve">=</m:t>
          </m:r>
          <m:r>
            <m:t xml:space="preserve">0,21</m:t>
          </m:r>
          <m:r>
            <m:rPr>
              <m:lit/>
              <m:nor/>
            </m:rPr>
            <m:t xml:space="preserve">%</m:t>
          </m:r>
        </m:oMath>
      </m:oMathPara>
    </w:p>
    <w:p>
      <w:pPr>
        <w:pStyle w:val="Normal"/>
        <w:spacing w:lineRule="auto" w:line="288" w:before="0" w:after="0"/>
        <w:jc w:val="start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  <w:t xml:space="preserve">Відносна похибка довжини хвилі </w:t>
      </w:r>
      <w:r>
        <w:rPr>
          <w:rStyle w:val="SourceText"/>
          <w:rFonts w:ascii="Times New Roman" w:hAnsi="Times New Roman"/>
          <w:b/>
          <w:bCs/>
          <w:iCs/>
          <w:color w:val="000000"/>
          <w:sz w:val="28"/>
          <w:szCs w:val="28"/>
          <w:lang w:eastAsia="ru-RU"/>
        </w:rPr>
        <w:t>δλ</w:t>
      </w: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  <w:t>:</w:t>
      </w:r>
    </w:p>
    <w:p>
      <w:pPr>
        <w:pStyle w:val="Normal"/>
        <w:spacing w:lineRule="auto" w:line="288" w:before="0" w:after="0"/>
        <w:jc w:val="start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δ</m:t>
          </m:r>
          <m:r>
            <m:t xml:space="preserve">λ</m:t>
          </m:r>
          <m:r>
            <m:rPr>
              <m:lit/>
              <m:nor/>
            </m:rPr>
            <m:t xml:space="preserve">=</m:t>
          </m:r>
          <m:f>
            <m:num>
              <m:d>
                <m:dPr>
                  <m:begChr m:val="|"/>
                  <m:endChr m:val="|"/>
                </m:dPr>
                <m:e>
                  <m:r>
                    <m:t xml:space="preserve">λ</m:t>
                  </m:r>
                  <m:r>
                    <m:t xml:space="preserve">−</m:t>
                  </m:r>
                  <m:sSub>
                    <m:e>
                      <m:r>
                        <m:t xml:space="preserve">λ</m:t>
                      </m:r>
                    </m:e>
                    <m:sub>
                      <m:r>
                        <m:rPr>
                          <m:lit/>
                          <m:nor/>
                        </m:rPr>
                        <m:t xml:space="preserve">теор</m:t>
                      </m:r>
                    </m:sub>
                  </m:sSub>
                </m:e>
              </m:d>
            </m:num>
            <m:den>
              <m:sSub>
                <m:e>
                  <m:r>
                    <m:t xml:space="preserve">λ</m:t>
                  </m:r>
                </m:e>
                <m:sub>
                  <m:r>
                    <m:rPr>
                      <m:lit/>
                      <m:nor/>
                    </m:rPr>
                    <m:t xml:space="preserve">теор</m:t>
                  </m:r>
                </m:sub>
              </m:sSub>
            </m:den>
          </m:f>
          <m:r>
            <m:t xml:space="preserve">⋅</m:t>
          </m:r>
          <m:r>
            <m:t xml:space="preserve">100</m:t>
          </m:r>
          <m:r>
            <m:rPr>
              <m:lit/>
              <m:nor/>
            </m:rPr>
            <m:t xml:space="preserve">%</m:t>
          </m:r>
        </m:oMath>
      </m:oMathPara>
    </w:p>
    <w:p>
      <w:pPr>
        <w:pStyle w:val="Normal"/>
        <w:spacing w:lineRule="auto" w:line="288" w:before="0" w:after="0"/>
        <w:jc w:val="start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δ</m:t>
          </m:r>
          <m:r>
            <m:t xml:space="preserve">λ</m:t>
          </m:r>
          <m:r>
            <m:rPr>
              <m:lit/>
              <m:nor/>
            </m:rPr>
            <m:t xml:space="preserve">=</m:t>
          </m:r>
          <m:f>
            <m:num>
              <m:d>
                <m:dPr>
                  <m:begChr m:val="|"/>
                  <m:endChr m:val="|"/>
                </m:dPr>
                <m:e>
                  <m:r>
                    <m:t xml:space="preserve">6583</m:t>
                  </m:r>
                  <m:r>
                    <m:t xml:space="preserve">−</m:t>
                  </m:r>
                  <m:r>
                    <m:t xml:space="preserve">6561,1</m:t>
                  </m:r>
                </m:e>
              </m:d>
            </m:num>
            <m:den>
              <m:r>
                <m:t xml:space="preserve">6561,1</m:t>
              </m:r>
            </m:den>
          </m:f>
          <m:r>
            <m:t xml:space="preserve">⋅</m:t>
          </m:r>
          <m:r>
            <m:t xml:space="preserve">100</m:t>
          </m:r>
          <m:r>
            <m:rPr>
              <m:lit/>
              <m:nor/>
            </m:rPr>
            <m:t xml:space="preserve">%</m:t>
          </m:r>
          <m:r>
            <m:rPr>
              <m:lit/>
              <m:nor/>
            </m:rPr>
            <m:t xml:space="preserve">=</m:t>
          </m:r>
          <m:r>
            <m:t xml:space="preserve">0,33</m:t>
          </m:r>
          <m:r>
            <m:rPr>
              <m:lit/>
              <m:nor/>
            </m:rPr>
            <m:t xml:space="preserve">%</m:t>
          </m:r>
        </m:oMath>
      </m:oMathPara>
    </w:p>
    <w:p>
      <w:pPr>
        <w:pStyle w:val="BodyText"/>
        <w:spacing w:lineRule="auto" w:line="288" w:before="0" w:after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Висновок:</w:t>
      </w:r>
    </w:p>
    <w:p>
      <w:pPr>
        <w:pStyle w:val="BodyText"/>
        <w:spacing w:lineRule="auto" w:line="288" w:before="0" w:after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У ході лабораторної роботи було досліджено спектр випромінювання атома водню у видимій області спектра. За допомогою градуювального графіка монохроматора УМ-2 було визначено довжини хвиль трьох ліній бальмерівської серії.</w:t>
      </w:r>
    </w:p>
    <w:p>
      <w:pPr>
        <w:pStyle w:val="BodyText"/>
        <w:spacing w:lineRule="auto" w:line="288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Розраховані значення головного квантового числа дозволили віднести досліджені лінії до відповідних електронних переходів в атомі водню: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88"/>
        <w:ind w:hanging="283" w:start="709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Лінія H_α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 (червона) утворюється при переході електрона з третього енергетичного рівня на другий (k=3 -&gt; n=2).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88"/>
        <w:ind w:hanging="283" w:start="709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Лінія H_β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 (блакитна) утворюється при переході з четвертого рівня на другий (k=4 -&gt; n=2).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88"/>
        <w:ind w:hanging="283" w:start="709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Лінія H_γ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 (синьо-фіолетова) утворюється при переході з п'ятого рівня на другий (k=5 -&gt; n=2).</w:t>
      </w:r>
    </w:p>
    <w:p>
      <w:pPr>
        <w:pStyle w:val="BodyText"/>
        <w:spacing w:lineRule="auto" w:line="288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Порівняння експериментально визначених довжин хвиль із теоретичними значеннями (розрахованими за узагальненою формулою Бальмера) продемонструвало високу точність експерименту: відносні похибки склали від 0,29% до 2,86%. Це повністю підтверджує достовірність квантово-механічної теорії будови атома водню Бора.</w:t>
      </w:r>
    </w:p>
    <w:p>
      <w:pPr>
        <w:pStyle w:val="BodyText"/>
        <w:spacing w:lineRule="auto" w:line="288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b/>
          <w:bCs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  <w:t>Контрольні запитання</w:t>
      </w:r>
    </w:p>
    <w:p>
      <w:pPr>
        <w:pStyle w:val="Normal"/>
        <w:spacing w:lineRule="auto" w:line="288" w:before="0" w:after="0"/>
        <w:ind w:firstLine="72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ListParagraph"/>
        <w:numPr>
          <w:ilvl w:val="0"/>
          <w:numId w:val="0"/>
        </w:numPr>
        <w:suppressAutoHyphens w:val="false"/>
        <w:spacing w:lineRule="auto" w:line="288" w:before="0" w:after="0"/>
        <w:ind w:hanging="0" w:start="0"/>
        <w:contextualSpacing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</w:font>
  <w:font w:name="Liberation Mono">
    <w:altName w:val="Courier New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Google Sans Text">
    <w:altName w:val="sans-serif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57473"/>
    <w:pPr>
      <w:widowControl/>
      <w:suppressAutoHyphens w:val="true"/>
      <w:bidi w:val="0"/>
      <w:spacing w:lineRule="auto" w:line="257" w:before="0" w:after="16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uk-UA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ad2352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cd2b1c"/>
    <w:rPr>
      <w:color w:val="808080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478a6"/>
    <w:pPr>
      <w:spacing w:before="0" w:after="160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hQT6TiuKfcFWsX8LztNNeEfX6AYw==">AMUW2mVVldolEGBNEIWFtFRYhBJ+zR46peNgq6vhmuIiQJT1CIjPEc1j0uWI5f4QAZMgXiEL31MRblvBpXIXQVliPwVMwW1eG59gjbbePkp6B4Q8n+VrP/I=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29E6F79-C389-48FB-9F43-CFFC8C7C2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Application>LibreOffice/25.8.5.2$Linux_X86_64 LibreOffice_project/580$Build-2</Application>
  <AppVersion>15.0000</AppVersion>
  <Pages>7</Pages>
  <Words>613</Words>
  <Characters>3802</Characters>
  <CharactersWithSpaces>4970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2023-03-02T14:42:00Z</dcterms:created>
  <dc:creator>Ill</dc:creator>
  <dc:description/>
  <dc:language>en-US</dc:language>
  <cp:lastModifiedBy/>
  <dcterms:modified xsi:type="dcterms:W3CDTF">2026-04-05T13:47:04Z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