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88" w:before="0" w:after="0"/>
        <w:jc w:val="center"/>
        <w:rPr/>
      </w:pPr>
      <w:r>
        <w:rPr>
          <w:rFonts w:eastAsia="Times New Roman"/>
          <w:b/>
          <w:sz w:val="28"/>
          <w:szCs w:val="28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lang w:val="ru-RU"/>
        </w:rPr>
      </w:pPr>
      <w:r>
        <w:rPr>
          <w:rFonts w:eastAsia="Times New Roman"/>
          <w:b/>
          <w:sz w:val="28"/>
          <w:szCs w:val="28"/>
        </w:rPr>
        <w:t>Лабораторна робота №</w:t>
      </w:r>
      <w:r>
        <w:rPr>
          <w:rFonts w:eastAsia="Times New Roman"/>
          <w:b/>
          <w:sz w:val="28"/>
          <w:szCs w:val="28"/>
          <w:lang w:val="ru-RU"/>
        </w:rPr>
        <w:t>4</w:t>
      </w:r>
    </w:p>
    <w:p>
      <w:pPr>
        <w:pStyle w:val="Normal"/>
        <w:spacing w:lineRule="auto" w:line="288" w:before="0" w:after="0"/>
        <w:jc w:val="center"/>
        <w:rPr/>
      </w:pPr>
      <w:r>
        <w:rPr>
          <w:rFonts w:eastAsia="Times New Roman"/>
          <w:sz w:val="28"/>
          <w:szCs w:val="28"/>
        </w:rPr>
        <w:t>з дисципліни</w:t>
        <w:br/>
        <w:t>«Фізичні основи комп’ютерних систем»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Виконав:</w:t>
        <w:tab/>
        <w:tab/>
        <w:tab/>
        <w:t xml:space="preserve">                                                </w:t>
      </w:r>
    </w:p>
    <w:p>
      <w:pPr>
        <w:pStyle w:val="Normal"/>
        <w:spacing w:lineRule="auto" w:line="288" w:before="0" w:after="0"/>
        <w:rPr/>
      </w:pPr>
      <w:r>
        <w:rPr>
          <w:rFonts w:eastAsia="Times New Roman"/>
          <w:sz w:val="28"/>
          <w:szCs w:val="28"/>
        </w:rPr>
        <w:t>студент групи ІМ-44</w:t>
        <w:tab/>
        <w:tab/>
        <w:t xml:space="preserve">                                       </w:t>
        <w:br/>
        <w:t xml:space="preserve">Цебринський Назар Андрійович  </w:t>
        <w:br/>
        <w:t>номер в списку групи: 29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Київ 2026</w:t>
      </w:r>
    </w:p>
    <w:p>
      <w:pPr>
        <w:pStyle w:val="Normal"/>
        <w:spacing w:lineRule="auto" w:line="288" w:before="0" w:after="0"/>
        <w:ind w:firstLine="567"/>
        <w:jc w:val="start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Тема:</w:t>
      </w:r>
      <w:r>
        <w:rPr>
          <w:rFonts w:eastAsia="Times New Roman" w:ascii="Times New Roman" w:hAnsi="Times New Roman"/>
          <w:sz w:val="28"/>
          <w:szCs w:val="28"/>
        </w:rPr>
        <w:t xml:space="preserve"> Вивчення спектра випромінювання атома водню. </w:t>
      </w:r>
    </w:p>
    <w:p>
      <w:pPr>
        <w:pStyle w:val="Normal"/>
        <w:spacing w:lineRule="auto" w:line="288" w:before="0" w:after="0"/>
        <w:ind w:firstLine="567"/>
        <w:jc w:val="start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Мета роботи:</w:t>
      </w:r>
      <w:r>
        <w:rPr>
          <w:rFonts w:eastAsia="Times New Roman" w:ascii="Times New Roman" w:hAnsi="Times New Roman"/>
          <w:sz w:val="28"/>
          <w:szCs w:val="28"/>
        </w:rPr>
        <w:t xml:space="preserve"> вивчення спектра випромінювання атома водню у видимій області.</w:t>
      </w:r>
    </w:p>
    <w:p>
      <w:pPr>
        <w:pStyle w:val="Normal"/>
        <w:spacing w:lineRule="auto" w:line="288" w:before="0" w:after="0"/>
        <w:ind w:firstLine="567"/>
        <w:jc w:val="center"/>
        <w:rPr>
          <w:rFonts w:ascii="Times New Roman" w:hAnsi="Times New Roman" w:eastAsia="Times New Roman"/>
          <w:b/>
          <w:bCs/>
          <w:sz w:val="28"/>
          <w:szCs w:val="28"/>
        </w:rPr>
      </w:pPr>
      <w:r>
        <w:rPr>
          <w:rFonts w:eastAsia="Times New Roman" w:ascii="Times New Roman" w:hAnsi="Times New Roman"/>
          <w:b/>
          <w:bCs/>
          <w:sz w:val="28"/>
          <w:szCs w:val="28"/>
        </w:rPr>
        <w:t>Основні теоретичні відомості:</w:t>
      </w:r>
    </w:p>
    <w:p>
      <w:pPr>
        <w:pStyle w:val="Normal"/>
        <w:spacing w:lineRule="auto" w:line="288" w:before="0" w:after="0"/>
        <w:ind w:firstLine="567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Heading3"/>
        <w:spacing w:lineRule="auto" w:line="288" w:before="0" w:after="0"/>
        <w:ind w:hanging="0" w:start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Природа спектрів та квантова механіка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bookmarkStart w:id="0" w:name="p-rc_ae6b149053c78e59-101"/>
      <w:bookmarkEnd w:id="0"/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З досліду відомо, що спектри випромінювання й поглинання атомів, які не взаємодіють між собою, є лінійчатими, тобто складаються з окремих вузьких смуг. Частоти (довжини хвиль) та інтенсивності цих ліній визначаються внутрішньою будовою атома і є суворо індивідуальними для кожного сорту атомів. Саме на цьому ґрунтується спектральний аналіз — метод визначення хімічного складу речовини за її оптичним спектром.</w:t>
      </w:r>
    </w:p>
    <w:p>
      <w:pPr>
        <w:pStyle w:val="Heading3"/>
        <w:spacing w:lineRule="auto" w:line="288" w:before="0" w:after="0"/>
        <w:ind w:hanging="0" w:start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Квантові числа та енергетичні стани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bookmarkStart w:id="1" w:name="p-rc_ae6b149053c78e59-103"/>
      <w:bookmarkEnd w:id="1"/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Стан електрона в атомі водню визначається набором квантових чисел:</w:t>
      </w:r>
    </w:p>
    <w:p>
      <w:pPr>
        <w:pStyle w:val="BodyText"/>
        <w:numPr>
          <w:ilvl w:val="0"/>
          <w:numId w:val="1"/>
        </w:numPr>
        <w:spacing w:lineRule="auto" w:line="288" w:before="0" w:after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bookmarkStart w:id="2" w:name="p-rc_ae6b149053c78e59-103_Copy_1"/>
      <w:bookmarkStart w:id="3" w:name="p-rc_ae6b149053c78e59-104"/>
      <w:bookmarkEnd w:id="2"/>
      <w:bookmarkEnd w:id="3"/>
      <w:r>
        <w:rPr>
          <w:rFonts w:eastAsia="Times New Roman" w:ascii="Times New Roman" w:hAnsi="Times New Roman"/>
          <w:b/>
          <w:color w:val="000000"/>
          <w:sz w:val="28"/>
          <w:szCs w:val="28"/>
          <w:lang w:eastAsia="ru-RU"/>
        </w:rPr>
        <w:t>Головне квантове число</w:t>
      </w: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 xml:space="preserve"> n=1,2,3....</w:t>
      </w:r>
    </w:p>
    <w:p>
      <w:pPr>
        <w:pStyle w:val="Normal"/>
        <w:numPr>
          <w:ilvl w:val="0"/>
          <w:numId w:val="1"/>
        </w:numPr>
        <w:spacing w:lineRule="auto" w:line="288" w:before="0" w:after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color w:val="000000"/>
          <w:sz w:val="28"/>
          <w:szCs w:val="28"/>
          <w:lang w:eastAsia="ru-RU"/>
        </w:rPr>
        <w:t>Орбітальне квантове число</w:t>
      </w: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 xml:space="preserve"> l=0,1,2...(n−1).</w:t>
      </w:r>
    </w:p>
    <w:p>
      <w:pPr>
        <w:pStyle w:val="Normal"/>
        <w:numPr>
          <w:ilvl w:val="0"/>
          <w:numId w:val="1"/>
        </w:numPr>
        <w:spacing w:lineRule="auto" w:line="288" w:before="0" w:after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color w:val="000000"/>
          <w:sz w:val="28"/>
          <w:szCs w:val="28"/>
          <w:lang w:eastAsia="ru-RU"/>
        </w:rPr>
        <w:t>Магнітне квантове число</w:t>
      </w: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 xml:space="preserve"> m=0,±1,±2...±l.</w:t>
      </w:r>
    </w:p>
    <w:p>
      <w:pPr>
        <w:pStyle w:val="Normal"/>
        <w:numPr>
          <w:ilvl w:val="0"/>
          <w:numId w:val="1"/>
        </w:numPr>
        <w:spacing w:lineRule="auto" w:line="288" w:before="0" w:after="0"/>
        <w:jc w:val="both"/>
        <w:rPr>
          <w:rFonts w:ascii="Times New Roman" w:hAnsi="Times New Roman" w:eastAsia="Times New Roman"/>
          <w:b/>
          <w:b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color w:val="000000"/>
          <w:sz w:val="28"/>
          <w:szCs w:val="28"/>
          <w:lang w:eastAsia="ru-RU"/>
        </w:rPr>
        <w:t>Існує також спін електрона (ms​=±1/2), який вимагає врахування ще одного квантового числа, хоча це не розглядається безпосередньо в механіці Шрьодінгера.</w:t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Кожен можливий набір цих чисел відповідає певній хвильовій функції, що визначає щільність імовірності перебування електрона в просторі. Енергія квантових станів залежить тільки від головного квантового числа n:</w:t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951990" cy="71437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1990" cy="714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При збільшенні n енергія атома зростає, а енергетичні рівні розміщуються все щільніше. Якщо n→∞, то енергія E→0, і утворюється неперервний спектр енергій (E≥0), що відповідає іонізованому стану атома. Енергія іонізації атома водню дорівнює 13,6 еВ.</w:t>
      </w:r>
    </w:p>
    <w:p>
      <w:pPr>
        <w:pStyle w:val="Heading3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Механізм випромінювання та формула Бальмера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bookmarkStart w:id="4" w:name="p-rc_ae6b149053c78e59-111"/>
      <w:bookmarkEnd w:id="4"/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За квантовою теорією, при переході атома зі стану з вищою енергією En​ у стан із нижчою енергією Em​ випромінюється фотон із енергією ℏωnm​=En​−Em​. Тому у спектрі атома водню спостерігаються дискретні частоти (спектральні лінії).</w:t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Частота цих ліній описується </w:t>
      </w: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узагальненою формулою Бальмера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:</w:t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723390" cy="62865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390" cy="62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де R — стала Рідберга (2,07⋅10^16 с^−1)</w:t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Heading3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Спектральні серії водню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bookmarkStart w:id="5" w:name="p-rc_ae6b149053c78e59-114"/>
      <w:bookmarkEnd w:id="5"/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Усі лінії у спектрі атома водню діляться на групи, які називаються спектральними серіями. Серія залежить від того, на який рівень (m) переходить електрон:</w:t>
      </w:r>
    </w:p>
    <w:p>
      <w:pPr>
        <w:pStyle w:val="Normal"/>
        <w:numPr>
          <w:ilvl w:val="0"/>
          <w:numId w:val="3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Серія Лаймана: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усі переходи на рівень m=1. Ці лінії знаходяться в ультрафіолетовій області спектра.</w:t>
      </w:r>
    </w:p>
    <w:p>
      <w:pPr>
        <w:pStyle w:val="Normal"/>
        <w:numPr>
          <w:ilvl w:val="0"/>
          <w:numId w:val="3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Серія Бальмера: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усі переходи на рівень m=2. Містить декілька ліній у видимій області, котрі можна спостерігати візуально.</w:t>
      </w:r>
    </w:p>
    <w:p>
      <w:pPr>
        <w:pStyle w:val="Normal"/>
        <w:numPr>
          <w:ilvl w:val="0"/>
          <w:numId w:val="3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Серія Пашена: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усі переходи на рівень m=3. Відповідає інфрачервоній області спектра.</w:t>
      </w:r>
    </w:p>
    <w:p>
      <w:pPr>
        <w:pStyle w:val="Heading3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Особливості серії Бальмера (видимий спектр)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bookmarkStart w:id="6" w:name="p-rc_ae6b149053c78e59-118"/>
      <w:bookmarkEnd w:id="6"/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Спектральні лінії серії Бальмера прийнято позначати символом водню H з індексами в порядку зростання числа n та частоти:</w:t>
      </w:r>
    </w:p>
    <w:p>
      <w:pPr>
        <w:pStyle w:val="Normal"/>
        <w:numPr>
          <w:ilvl w:val="0"/>
          <w:numId w:val="2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Hα​ (перехід з n=3).</w:t>
      </w:r>
    </w:p>
    <w:p>
      <w:pPr>
        <w:pStyle w:val="Normal"/>
        <w:numPr>
          <w:ilvl w:val="0"/>
          <w:numId w:val="2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Hβ​ (перехід з n=4).</w:t>
      </w:r>
    </w:p>
    <w:p>
      <w:pPr>
        <w:pStyle w:val="BodyText"/>
        <w:numPr>
          <w:ilvl w:val="0"/>
          <w:numId w:val="2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Hγ​ (перехід з n=5).</w:t>
      </w:r>
    </w:p>
    <w:p>
      <w:pPr>
        <w:pStyle w:val="Normal"/>
        <w:numPr>
          <w:ilvl w:val="0"/>
          <w:numId w:val="2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Hδ​ (перехід з n=6).</w:t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Під час експерименту з газорозрядною лампою атоми водню випромінюють ці спектральні лінії на тлі молекулярного спектра H2​. Молекулярний спектр має вигляд широких смуг із близько розміщених і слабких ліній. Проте атомні лінії (особливо Hα​, Hβ​, Hγ​) розрізнити легко, оскільки вони яскравіші і розміщені далеко одна від одної.</w:t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Порядок виконання роботи:</w:t>
      </w:r>
    </w:p>
    <w:p>
      <w:pPr>
        <w:pStyle w:val="BodyText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872426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724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  <w:t>Виконання роботи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38315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83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tbl>
      <w:tblPr>
        <w:tblW w:w="820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680"/>
        <w:gridCol w:w="608"/>
        <w:gridCol w:w="609"/>
        <w:gridCol w:w="608"/>
        <w:gridCol w:w="609"/>
        <w:gridCol w:w="611"/>
        <w:gridCol w:w="609"/>
        <w:gridCol w:w="609"/>
        <w:gridCol w:w="608"/>
        <w:gridCol w:w="655"/>
      </w:tblGrid>
      <w:tr>
        <w:trPr>
          <w:tblHeader w:val="true"/>
        </w:trPr>
        <w:tc>
          <w:tcPr>
            <w:tcW w:w="26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Довжина хвилі λ, A˚</w:t>
            </w:r>
          </w:p>
        </w:tc>
        <w:tc>
          <w:tcPr>
            <w:tcW w:w="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6907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5791</w:t>
            </w:r>
          </w:p>
        </w:tc>
        <w:tc>
          <w:tcPr>
            <w:tcW w:w="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5770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5461</w:t>
            </w:r>
          </w:p>
        </w:tc>
        <w:tc>
          <w:tcPr>
            <w:tcW w:w="6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4916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4358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4348</w:t>
            </w:r>
          </w:p>
        </w:tc>
        <w:tc>
          <w:tcPr>
            <w:tcW w:w="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4339</w:t>
            </w:r>
          </w:p>
        </w:tc>
        <w:tc>
          <w:tcPr>
            <w:tcW w:w="6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4046</w:t>
            </w:r>
          </w:p>
        </w:tc>
      </w:tr>
      <w:tr>
        <w:trPr/>
        <w:tc>
          <w:tcPr>
            <w:tcW w:w="26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Поділки барабана N</w:t>
            </w:r>
          </w:p>
        </w:tc>
        <w:tc>
          <w:tcPr>
            <w:tcW w:w="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3328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2884</w:t>
            </w:r>
          </w:p>
        </w:tc>
        <w:tc>
          <w:tcPr>
            <w:tcW w:w="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2882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2696</w:t>
            </w:r>
          </w:p>
        </w:tc>
        <w:tc>
          <w:tcPr>
            <w:tcW w:w="6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2576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1610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1594</w:t>
            </w:r>
          </w:p>
        </w:tc>
        <w:tc>
          <w:tcPr>
            <w:tcW w:w="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1580</w:t>
            </w:r>
          </w:p>
        </w:tc>
        <w:tc>
          <w:tcPr>
            <w:tcW w:w="6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1054</w:t>
            </w:r>
          </w:p>
        </w:tc>
      </w:tr>
    </w:tbl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Heading3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" w:ascii="Times New Roman" w:hAnsi="Times New Roman" w:eastAsiaTheme="minorEastAsia"/>
          <w:sz w:val="28"/>
          <w:szCs w:val="28"/>
          <w:lang w:eastAsia="ru-RU"/>
        </w:rPr>
        <w:t>2. Результати дослідження спектра водню</w:t>
      </w:r>
    </w:p>
    <w:p>
      <w:pPr>
        <w:pStyle w:val="BodyText"/>
        <w:spacing w:lineRule="auto" w:line="288"/>
        <w:ind w:hanging="0" w:start="0" w:end="0"/>
        <w:rPr>
          <w:rFonts w:ascii="Times New Roman" w:hAnsi="Times New Roman" w:eastAsia="" w:eastAsiaTheme="minorEastAsia"/>
          <w:sz w:val="28"/>
          <w:szCs w:val="28"/>
          <w:lang w:eastAsia="ru-RU"/>
        </w:rPr>
      </w:pPr>
      <w:bookmarkStart w:id="7" w:name="p-rc_6e1007924641fb88-173"/>
      <w:bookmarkEnd w:id="7"/>
      <w:r>
        <w:rPr>
          <w:rFonts w:eastAsia="" w:ascii="Times New Roman" w:hAnsi="Times New Roman" w:eastAsiaTheme="minorEastAsia"/>
          <w:sz w:val="28"/>
          <w:szCs w:val="28"/>
          <w:lang w:eastAsia="ru-RU"/>
        </w:rPr>
        <w:t>За допомогою побудованого градуювального графіка було визначено довжини хвиль для ліній випромінювання атомів водню.</w:t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tbl>
      <w:tblPr>
        <w:tblW w:w="696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533"/>
        <w:gridCol w:w="794"/>
        <w:gridCol w:w="795"/>
        <w:gridCol w:w="839"/>
      </w:tblGrid>
      <w:tr>
        <w:trPr>
          <w:tblHeader w:val="true"/>
        </w:trPr>
        <w:tc>
          <w:tcPr>
            <w:tcW w:w="45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Назва лінії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Hα​</w:t>
            </w:r>
          </w:p>
        </w:tc>
        <w:tc>
          <w:tcPr>
            <w:tcW w:w="79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Hβ​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Hγ​</w:t>
            </w:r>
          </w:p>
        </w:tc>
      </w:tr>
      <w:tr>
        <w:trPr/>
        <w:tc>
          <w:tcPr>
            <w:tcW w:w="45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/>
              <w:spacing w:lineRule="auto" w:line="274" w:before="0" w:after="140"/>
              <w:ind w:hanging="0" w:start="0" w:end="0"/>
              <w:rPr>
                <w:rFonts w:ascii="Google Sans Text;sans-serif" w:hAnsi="Google Sans Text;sans-serif" w:eastAsia="" w:eastAsiaTheme="minorEastAsia"/>
                <w:sz w:val="28"/>
                <w:szCs w:val="28"/>
                <w:lang w:eastAsia="ru-RU"/>
              </w:rPr>
            </w:pPr>
            <w:r>
              <w:rPr>
                <w:rFonts w:eastAsia="" w:ascii="Google Sans Text;sans-serif" w:hAnsi="Google Sans Text;sans-serif" w:eastAsiaTheme="minorEastAsia"/>
                <w:b/>
                <w:sz w:val="28"/>
                <w:szCs w:val="28"/>
                <w:lang w:eastAsia="ru-RU"/>
              </w:rPr>
              <w:t>N’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3216</w:t>
            </w:r>
          </w:p>
        </w:tc>
        <w:tc>
          <w:tcPr>
            <w:tcW w:w="79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2210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1586</w:t>
            </w:r>
          </w:p>
        </w:tc>
      </w:tr>
      <w:tr>
        <w:trPr/>
        <w:tc>
          <w:tcPr>
            <w:tcW w:w="45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/>
              <w:spacing w:lineRule="auto" w:line="274" w:before="0" w:after="140"/>
              <w:ind w:hanging="0" w:start="0" w:end="0"/>
              <w:rPr>
                <w:rFonts w:ascii="Google Sans Text;sans-serif" w:hAnsi="Google Sans Text;sans-serif" w:eastAsia="" w:eastAsiaTheme="minorEastAsia"/>
                <w:sz w:val="28"/>
                <w:szCs w:val="28"/>
                <w:lang w:eastAsia="ru-RU"/>
              </w:rPr>
            </w:pPr>
            <w:r>
              <w:rPr>
                <w:rFonts w:eastAsia="" w:ascii="Google Sans Text;sans-serif" w:hAnsi="Google Sans Text;sans-serif" w:eastAsiaTheme="minorEastAsia"/>
                <w:sz w:val="28"/>
                <w:szCs w:val="28"/>
                <w:lang w:eastAsia="ru-RU"/>
              </w:rPr>
              <w:t>λ, A˚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658,3</w:t>
            </w:r>
          </w:p>
        </w:tc>
        <w:tc>
          <w:tcPr>
            <w:tcW w:w="79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472,1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432,6</w:t>
            </w:r>
          </w:p>
        </w:tc>
      </w:tr>
      <w:tr>
        <w:trPr/>
        <w:tc>
          <w:tcPr>
            <w:tcW w:w="45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4" w:before="0" w:after="140"/>
              <w:ind w:hanging="0" w:start="0" w:end="0"/>
              <w:rPr>
                <w:rFonts w:ascii="Google Sans Text;sans-serif" w:hAnsi="Google Sans Text;sans-serif" w:eastAsia="" w:eastAsiaTheme="minorEastAsia"/>
                <w:sz w:val="28"/>
                <w:szCs w:val="28"/>
                <w:lang w:eastAsia="ru-RU"/>
              </w:rPr>
            </w:pPr>
            <w:r>
              <w:rPr>
                <w:rFonts w:eastAsia="" w:ascii="Google Sans Text;sans-serif" w:hAnsi="Google Sans Text;sans-serif" w:eastAsiaTheme="minorEastAsia"/>
                <w:b/>
                <w:sz w:val="28"/>
                <w:szCs w:val="28"/>
                <w:lang w:eastAsia="ru-RU"/>
              </w:rPr>
              <w:t>k</w:t>
            </w:r>
            <w:r>
              <w:rPr>
                <w:rFonts w:eastAsia="" w:ascii="Google Sans Text;sans-serif" w:hAnsi="Google Sans Text;sans-serif" w:eastAsiaTheme="minorEastAsia"/>
                <w:sz w:val="28"/>
                <w:szCs w:val="28"/>
                <w:lang w:eastAsia="ru-RU"/>
              </w:rPr>
              <w:t xml:space="preserve"> 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2,99</w:t>
            </w:r>
          </w:p>
        </w:tc>
        <w:tc>
          <w:tcPr>
            <w:tcW w:w="79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4,19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5,04</w:t>
            </w:r>
          </w:p>
        </w:tc>
      </w:tr>
      <w:tr>
        <w:trPr/>
        <w:tc>
          <w:tcPr>
            <w:tcW w:w="45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4" w:before="0" w:after="140"/>
              <w:ind w:hanging="0" w:start="0" w:end="0"/>
              <w:rPr>
                <w:rFonts w:ascii="Google Sans Text;sans-serif" w:hAnsi="Google Sans Text;sans-serif" w:eastAsia="" w:eastAsiaTheme="minorEastAsia"/>
                <w:sz w:val="28"/>
                <w:szCs w:val="28"/>
                <w:lang w:eastAsia="ru-RU"/>
              </w:rPr>
            </w:pPr>
            <w:r>
              <w:rPr>
                <w:rFonts w:eastAsia="" w:ascii="Google Sans Text;sans-serif" w:hAnsi="Google Sans Text;sans-serif" w:eastAsiaTheme="minorEastAsia"/>
                <w:b/>
                <w:sz w:val="28"/>
                <w:szCs w:val="28"/>
                <w:lang w:eastAsia="ru-RU"/>
              </w:rPr>
              <w:t xml:space="preserve">k округл. </w:t>
            </w:r>
            <w:r>
              <w:rPr>
                <w:rFonts w:eastAsia="" w:ascii="Google Sans Text;sans-serif" w:hAnsi="Google Sans Text;sans-serif" w:eastAsiaTheme="minorEastAsia"/>
                <w:sz w:val="28"/>
                <w:szCs w:val="28"/>
                <w:lang w:eastAsia="ru-RU"/>
              </w:rPr>
              <w:t xml:space="preserve"> 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3</w:t>
            </w:r>
          </w:p>
        </w:tc>
        <w:tc>
          <w:tcPr>
            <w:tcW w:w="79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5</w:t>
            </w:r>
          </w:p>
        </w:tc>
      </w:tr>
      <w:tr>
        <w:trPr/>
        <w:tc>
          <w:tcPr>
            <w:tcW w:w="45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4" w:before="0" w:after="140"/>
              <w:ind w:hanging="0" w:start="0" w:end="0"/>
              <w:rPr>
                <w:rFonts w:ascii="Google Sans Text;sans-serif" w:hAnsi="Google Sans Text;sans-serif" w:eastAsia="" w:eastAsiaTheme="minorEastAsia"/>
                <w:sz w:val="28"/>
                <w:szCs w:val="28"/>
                <w:lang w:eastAsia="ru-RU"/>
              </w:rPr>
            </w:pPr>
            <w:r>
              <w:rPr>
                <w:rFonts w:eastAsia="" w:ascii="Google Sans Text;sans-serif" w:hAnsi="Google Sans Text;sans-serif" w:eastAsiaTheme="minorEastAsia"/>
                <w:b/>
                <w:sz w:val="28"/>
                <w:szCs w:val="28"/>
                <w:lang w:eastAsia="ru-RU"/>
              </w:rPr>
              <w:t xml:space="preserve">λteop​, A˚ </w:t>
            </w:r>
            <w:r>
              <w:rPr>
                <w:rFonts w:eastAsia="" w:ascii="Google Sans Text;sans-serif" w:hAnsi="Google Sans Text;sans-serif" w:eastAsiaTheme="minorEastAsia"/>
                <w:sz w:val="28"/>
                <w:szCs w:val="28"/>
                <w:lang w:eastAsia="ru-RU"/>
              </w:rPr>
              <w:t xml:space="preserve"> 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656,</w:t>
            </w:r>
            <w:r>
              <w:rPr>
                <w:rFonts w:ascii="Google Sans Text;sans-serif" w:hAnsi="Google Sans Text;sans-serif"/>
              </w:rPr>
              <w:t>3</w:t>
            </w:r>
          </w:p>
        </w:tc>
        <w:tc>
          <w:tcPr>
            <w:tcW w:w="79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486,1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43</w:t>
            </w:r>
            <w:r>
              <w:rPr>
                <w:rFonts w:ascii="Google Sans Text;sans-serif" w:hAnsi="Google Sans Text;sans-serif"/>
              </w:rPr>
              <w:t>4</w:t>
            </w:r>
            <w:r>
              <w:rPr>
                <w:rFonts w:ascii="Google Sans Text;sans-serif" w:hAnsi="Google Sans Text;sans-serif"/>
              </w:rPr>
              <w:t>,4</w:t>
            </w:r>
          </w:p>
        </w:tc>
      </w:tr>
    </w:tbl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177665"/>
            <wp:effectExtent l="0" t="0" r="0" b="0"/>
            <wp:wrapSquare wrapText="largest"/>
            <wp:docPr id="5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77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  <w:t>Розрахункові формули та обчислення:</w:t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  <w:t>Експериментальне головне квантове число k:</w:t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k</m:t>
          </m:r>
          <m:r>
            <m:rPr>
              <m:lit/>
              <m:nor/>
            </m:rPr>
            <m:t xml:space="preserve">=</m:t>
          </m:r>
          <m:f>
            <m:num>
              <m:r>
                <m:t xml:space="preserve">1</m:t>
              </m:r>
            </m:num>
            <m:den>
              <m:rad>
                <m:radPr>
                  <m:degHide m:val="1"/>
                </m:radPr>
                <m:deg/>
                <m:e>
                  <m:r>
                    <m:t xml:space="preserve">0,25</m:t>
                  </m:r>
                  <m:r>
                    <m:t xml:space="preserve">−</m:t>
                  </m:r>
                  <m:f>
                    <m:num>
                      <m:r>
                        <m:t xml:space="preserve">1000</m:t>
                      </m:r>
                    </m:num>
                    <m:den>
                      <m:r>
                        <m:t xml:space="preserve">λ</m:t>
                      </m:r>
                      <m:r>
                        <m:t xml:space="preserve">⋅</m:t>
                      </m:r>
                      <m:sSub>
                        <m:e>
                          <m:r>
                            <m:t xml:space="preserve">R</m:t>
                          </m:r>
                        </m:e>
                        <m:sub>
                          <m:r>
                            <m:t xml:space="preserve">λ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k</m:t>
          </m:r>
          <m:r>
            <m:rPr>
              <m:lit/>
              <m:nor/>
            </m:rPr>
            <m:t xml:space="preserve">=</m:t>
          </m:r>
          <m:f>
            <m:num>
              <m:r>
                <m:t xml:space="preserve">1</m:t>
              </m:r>
            </m:num>
            <m:den>
              <m:rad>
                <m:radPr>
                  <m:degHide m:val="1"/>
                </m:radPr>
                <m:deg/>
                <m:e>
                  <m:r>
                    <m:t xml:space="preserve">0,25</m:t>
                  </m:r>
                  <m:r>
                    <m:t xml:space="preserve">−</m:t>
                  </m:r>
                  <m:f>
                    <m:num>
                      <m:r>
                        <m:t xml:space="preserve">1000</m:t>
                      </m:r>
                    </m:num>
                    <m:den>
                      <m:r>
                        <m:t xml:space="preserve">6583</m:t>
                      </m:r>
                      <m:r>
                        <m:t xml:space="preserve">⋅</m:t>
                      </m:r>
                      <m:r>
                        <m:t xml:space="preserve">1,09737</m:t>
                      </m:r>
                    </m:den>
                  </m:f>
                </m:e>
              </m:rad>
            </m:den>
          </m:f>
          <m:r>
            <m:rPr>
              <m:lit/>
              <m:nor/>
            </m:rPr>
            <m:t xml:space="preserve">=</m:t>
          </m:r>
          <m:f>
            <m:num>
              <m:r>
                <m:t xml:space="preserve">1</m:t>
              </m:r>
            </m:num>
            <m:den>
              <m:rad>
                <m:radPr>
                  <m:degHide m:val="1"/>
                </m:radPr>
                <m:deg/>
                <m:e>
                  <m:r>
                    <m:t xml:space="preserve">0,25</m:t>
                  </m:r>
                  <m:r>
                    <m:t xml:space="preserve">−</m:t>
                  </m:r>
                  <m:r>
                    <m:t xml:space="preserve">0,13843</m:t>
                  </m:r>
                </m:e>
              </m:rad>
            </m:den>
          </m:f>
          <m:r>
            <m:rPr>
              <m:lit/>
              <m:nor/>
            </m:rPr>
            <m:t xml:space="preserve">=</m:t>
          </m:r>
          <m:r>
            <m:t xml:space="preserve">2,99</m:t>
          </m:r>
        </m:oMath>
      </m:oMathPara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Округлене k = 3</w:t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Похибки:</w:t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800225" cy="609600"/>
            <wp:effectExtent l="0" t="0" r="0" b="0"/>
            <wp:wrapSquare wrapText="largest"/>
            <wp:docPr id="6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BodyText"/>
        <w:numPr>
          <w:ilvl w:val="0"/>
          <w:numId w:val="5"/>
        </w:numPr>
        <w:spacing w:lineRule="auto" w:line="288" w:before="0" w:after="0"/>
        <w:jc w:val="start"/>
        <w:rPr>
          <w:rFonts w:ascii="Google Sans Text;sans-serif" w:hAnsi="Google Sans Text;sans-serif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Google Sans Text;sans-serif" w:hAnsi="Google Sans Text;sans-serif"/>
          <w:b/>
          <w:bCs/>
          <w:iCs/>
          <w:color w:val="000000"/>
          <w:sz w:val="28"/>
          <w:szCs w:val="28"/>
          <w:lang w:eastAsia="ru-RU"/>
        </w:rPr>
        <w:t>Для червоного: 0,30%</w:t>
      </w:r>
    </w:p>
    <w:p>
      <w:pPr>
        <w:pStyle w:val="BodyText"/>
        <w:numPr>
          <w:ilvl w:val="0"/>
          <w:numId w:val="5"/>
        </w:numPr>
        <w:spacing w:lineRule="auto" w:line="274" w:before="0" w:after="140"/>
        <w:rPr>
          <w:rFonts w:ascii="Google Sans Text;sans-serif" w:hAnsi="Google Sans Text;sans-serif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Google Sans Text;sans-serif" w:hAnsi="Google Sans Text;sans-serif"/>
          <w:b/>
          <w:bCs/>
          <w:iCs/>
          <w:color w:val="000000"/>
          <w:sz w:val="28"/>
          <w:szCs w:val="28"/>
          <w:lang w:eastAsia="ru-RU"/>
        </w:rPr>
        <w:t>Для блакитного: 2,88%</w:t>
      </w:r>
    </w:p>
    <w:p>
      <w:pPr>
        <w:pStyle w:val="BodyText"/>
        <w:numPr>
          <w:ilvl w:val="0"/>
          <w:numId w:val="5"/>
        </w:numPr>
        <w:spacing w:lineRule="auto" w:line="274" w:before="0" w:after="140"/>
        <w:rPr>
          <w:rFonts w:ascii="Google Sans Text;sans-serif" w:hAnsi="Google Sans Text;sans-serif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Google Sans Text;sans-serif" w:hAnsi="Google Sans Text;sans-serif"/>
          <w:b/>
          <w:bCs/>
          <w:iCs/>
          <w:color w:val="000000"/>
          <w:sz w:val="28"/>
          <w:szCs w:val="28"/>
          <w:lang w:eastAsia="ru-RU"/>
        </w:rPr>
        <w:t>Для синього: 0,41%</w:t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Висновок:</w:t>
      </w:r>
    </w:p>
    <w:p>
      <w:pPr>
        <w:pStyle w:val="BodyText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У ході лабораторної роботи було досліджено спектр випромінювання атома водню у видимій області спектра. За допомогою градуювального графіка монохроматора УМ-2 було визначено довжини хвиль трьох ліній бальмерівської серії.</w:t>
      </w:r>
    </w:p>
    <w:p>
      <w:pPr>
        <w:pStyle w:val="BodyText"/>
        <w:spacing w:lineRule="auto" w:line="288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Розраховані значення головного квантового числа дозволили віднести досліджені лінії до відповідних електронних переходів в атомі водню: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88"/>
        <w:ind w:hanging="283" w:start="709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Лінія H_α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(червона) утворюється при переході електрона з третього енергетичного рівня на другий (k=3 -&gt; n=2).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88"/>
        <w:ind w:hanging="283" w:start="709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Лінія H_β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(блакитна) утворюється при переході з четвертого рівня на другий (k=4 -&gt; n=2).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88"/>
        <w:ind w:hanging="283" w:start="709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Лінія H_γ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(синьо-фіолетова) утворюється при переході з п'ятого рівня на другий (k=5 -&gt; n=2).</w:t>
      </w:r>
    </w:p>
    <w:p>
      <w:pPr>
        <w:pStyle w:val="BodyText"/>
        <w:spacing w:lineRule="auto" w:line="288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Порівняння експериментально визначених довжин хвиль із теоретичними значеннями (розрахованими за узагальненою формулою Бальмера) продемонструвало високу точність експерименту: відносні похибки склали від 0,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30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% до 2,8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8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%. Це повністю підтверджує достовірність квантово-механічної теорії будови атома водню Бора.</w:t>
      </w:r>
    </w:p>
    <w:p>
      <w:pPr>
        <w:pStyle w:val="BodyText"/>
        <w:spacing w:lineRule="auto" w:line="288"/>
        <w:jc w:val="center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  <w:t>Контрольні запитання</w:t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814445"/>
            <wp:effectExtent l="0" t="0" r="0" b="0"/>
            <wp:wrapSquare wrapText="largest"/>
            <wp:docPr id="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14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701" w:right="850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OpenSymbol">
    <w:altName w:val="Arial Unicode MS"/>
    <w:charset w:val="01" w:characterSet="utf-8"/>
    <w:family w:val="swiss"/>
    <w:pitch w:val="variable"/>
  </w:font>
  <w:font w:name="Liberation Mono">
    <w:altName w:val="Courier New"/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Google Sans Text">
    <w:altName w:val="sans-serif"/>
    <w:charset w:val="01" w:characterSet="utf-8"/>
    <w:family w:val="swiss"/>
    <w:pitch w:val="variable"/>
  </w:font>
  <w:font w:name="Google Sans Text">
    <w:altName w:val="sans-serif"/>
    <w:charset w:val="01" w:characterSet="utf-8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57473"/>
    <w:pPr>
      <w:widowControl/>
      <w:suppressAutoHyphens w:val="true"/>
      <w:bidi w:val="0"/>
      <w:spacing w:lineRule="auto" w:line="257" w:before="0" w:after="160"/>
      <w:jc w:val="start"/>
    </w:pPr>
    <w:rPr>
      <w:rFonts w:ascii="Calibri" w:hAnsi="Calibri" w:eastAsia="Calibri" w:cs="Times New Roman"/>
      <w:color w:val="auto"/>
      <w:kern w:val="0"/>
      <w:sz w:val="22"/>
      <w:szCs w:val="22"/>
      <w:lang w:val="uk-UA" w:eastAsia="zh-CN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rsid w:val="00ad2352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cd2b1c"/>
    <w:rPr>
      <w:color w:val="808080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e478a6"/>
    <w:pPr>
      <w:spacing w:before="0" w:after="160"/>
      <w:ind w:star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5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<Relationship Id="rId14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hQT6TiuKfcFWsX8LztNNeEfX6AYw==">AMUW2mVVldolEGBNEIWFtFRYhBJ+zR46peNgq6vhmuIiQJT1CIjPEc1j0uWI5f4QAZMgXiEL31MRblvBpXIXQVliPwVMwW1eG59gjbbePkp6B4Q8n+VrP/I=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29E6F79-C389-48FB-9F43-CFFC8C7C28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846</TotalTime>
  <Application>LibreOffice/25.8.6.2$Linux_X86_64 LibreOffice_project/580$Build-2</Application>
  <AppVersion>15.0000</AppVersion>
  <Pages>8</Pages>
  <Words>602</Words>
  <Characters>3738</Characters>
  <CharactersWithSpaces>4897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2023-03-02T14:42:00Z</dcterms:created>
  <dc:creator>Ill</dc:creator>
  <dc:description/>
  <dc:language>en-US</dc:language>
  <cp:lastModifiedBy/>
  <dcterms:modified xsi:type="dcterms:W3CDTF">2026-05-07T15:36:23Z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