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 w:before="0" w:after="0"/>
        <w:jc w:val="center"/>
        <w:rPr/>
      </w:pPr>
      <w:r>
        <w:rPr>
          <w:rFonts w:eastAsia="Times New Roman"/>
          <w:b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lang w:val="ru-RU"/>
        </w:rPr>
      </w:pPr>
      <w:r>
        <w:rPr>
          <w:rFonts w:eastAsia="Times New Roman"/>
          <w:b/>
          <w:sz w:val="28"/>
          <w:szCs w:val="28"/>
        </w:rPr>
        <w:t>Лабораторна робота №</w:t>
      </w:r>
      <w:r>
        <w:rPr>
          <w:rFonts w:eastAsia="Times New Roman"/>
          <w:b/>
          <w:sz w:val="28"/>
          <w:szCs w:val="28"/>
          <w:lang w:val="ru-RU"/>
        </w:rPr>
        <w:t>5</w:t>
      </w:r>
    </w:p>
    <w:p>
      <w:pPr>
        <w:pStyle w:val="Normal"/>
        <w:spacing w:lineRule="auto" w:line="288" w:before="0" w:after="0"/>
        <w:jc w:val="center"/>
        <w:rPr/>
      </w:pPr>
      <w:r>
        <w:rPr>
          <w:rFonts w:eastAsia="Times New Roman"/>
          <w:sz w:val="28"/>
          <w:szCs w:val="28"/>
        </w:rPr>
        <w:t>з дисципліни</w:t>
        <w:br/>
        <w:t>«Фізичні основи комп’ютерних систем»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Виконав:</w:t>
        <w:tab/>
        <w:tab/>
        <w:tab/>
        <w:t xml:space="preserve">                                                </w:t>
      </w:r>
    </w:p>
    <w:p>
      <w:pPr>
        <w:pStyle w:val="Normal"/>
        <w:spacing w:lineRule="auto" w:line="288" w:before="0" w:after="0"/>
        <w:rPr/>
      </w:pPr>
      <w:r>
        <w:rPr>
          <w:rFonts w:eastAsia="Times New Roman"/>
          <w:sz w:val="28"/>
          <w:szCs w:val="28"/>
        </w:rPr>
        <w:t>студент групи ІМ-44</w:t>
        <w:tab/>
        <w:tab/>
        <w:t xml:space="preserve">                                       </w:t>
        <w:br/>
        <w:t xml:space="preserve">Цебринський Назар Андрійович  </w:t>
        <w:br/>
        <w:t>номер в списку групи: 29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Київ 2026</w:t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 xml:space="preserve">Тема: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Вивчення поляризованого світла.</w:t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 xml:space="preserve">Мета: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Експериментально перевірити формули Френеля та закон Малюса, визначити кут Брюстера та показник заломлення скла.</w:t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 xml:space="preserve">Прилади: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He-Ne лазер, вимірювальна головка з лімбом, скляна пластинка, поляроїд, вольтметр.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ind w:hanging="0" w:left="0"/>
        <w:jc w:val="center"/>
        <w:rPr>
          <w:b/>
          <w:bCs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Основні теоретичні відомості:</w:t>
      </w:r>
    </w:p>
    <w:p>
      <w:pPr>
        <w:pStyle w:val="Heading2"/>
        <w:spacing w:lineRule="auto" w:line="288" w:before="0" w:after="0"/>
        <w:ind w:firstLine="567"/>
        <w:jc w:val="left"/>
        <w:rPr/>
      </w:pPr>
      <w:r>
        <w:rPr>
          <w:rFonts w:eastAsia="Times New Roman" w:ascii="Times New Roman" w:hAnsi="Times New Roman"/>
          <w:sz w:val="28"/>
          <w:szCs w:val="28"/>
        </w:rPr>
        <w:t>1. Природа світла та види поляризації</w:t>
      </w:r>
    </w:p>
    <w:p>
      <w:pPr>
        <w:pStyle w:val="BodyText"/>
        <w:spacing w:lineRule="auto" w:line="288"/>
        <w:ind w:hanging="0" w:left="0" w:right="0"/>
        <w:jc w:val="left"/>
        <w:rPr/>
      </w:pPr>
      <w:bookmarkStart w:id="0" w:name="p-rc_6439be06be49d5e6-718"/>
      <w:bookmarkEnd w:id="0"/>
      <w:r>
        <w:rPr>
          <w:rFonts w:eastAsia="Times New Roman" w:ascii="Times New Roman" w:hAnsi="Times New Roman"/>
          <w:sz w:val="28"/>
          <w:szCs w:val="28"/>
        </w:rPr>
        <w:t xml:space="preserve">Світло — це </w:t>
      </w:r>
      <w:r>
        <w:rPr>
          <w:rFonts w:eastAsia="Times New Roman" w:ascii="Times New Roman" w:hAnsi="Times New Roman"/>
          <w:b/>
          <w:sz w:val="28"/>
          <w:szCs w:val="28"/>
        </w:rPr>
        <w:t>поперечна електромагнітна хвиля</w:t>
      </w:r>
      <w:r>
        <w:rPr>
          <w:rFonts w:eastAsia="Times New Roman" w:ascii="Times New Roman" w:hAnsi="Times New Roman"/>
          <w:sz w:val="28"/>
          <w:szCs w:val="28"/>
        </w:rPr>
        <w:t xml:space="preserve">. Це означає, що вектори напруженості електричного E та магнітного H полів коливаються перпендикулярно до напрямку поширення хвилі та взаємно перпендикулярно один до одного. Оскільки на речовину діє переважно електричне поле, вектор E називають </w:t>
      </w:r>
      <w:r>
        <w:rPr>
          <w:rFonts w:eastAsia="Times New Roman" w:ascii="Times New Roman" w:hAnsi="Times New Roman"/>
          <w:b/>
          <w:sz w:val="28"/>
          <w:szCs w:val="28"/>
        </w:rPr>
        <w:t>світловим вектором</w:t>
      </w:r>
      <w:r>
        <w:rPr>
          <w:rFonts w:eastAsia="Times New Roman" w:ascii="Times New Roman" w:hAnsi="Times New Roman"/>
          <w:sz w:val="28"/>
          <w:szCs w:val="28"/>
        </w:rPr>
        <w:t>.</w:t>
      </w:r>
    </w:p>
    <w:p>
      <w:pPr>
        <w:pStyle w:val="Heading3"/>
        <w:spacing w:lineRule="auto" w:line="288" w:before="0" w:after="0"/>
        <w:ind w:firstLine="567"/>
        <w:jc w:val="lef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Основні види світла за станом поляризації:</w:t>
      </w:r>
    </w:p>
    <w:p>
      <w:pPr>
        <w:pStyle w:val="BodyText"/>
        <w:numPr>
          <w:ilvl w:val="0"/>
          <w:numId w:val="1"/>
        </w:numPr>
        <w:spacing w:lineRule="auto" w:line="288"/>
        <w:jc w:val="left"/>
        <w:rPr>
          <w:rFonts w:ascii="Times New Roman" w:hAnsi="Times New Roman" w:eastAsia="Times New Roman"/>
          <w:sz w:val="28"/>
          <w:szCs w:val="28"/>
        </w:rPr>
      </w:pPr>
      <w:bookmarkStart w:id="1" w:name="p-rc_6439be06be49d5e6-719"/>
      <w:bookmarkEnd w:id="1"/>
      <w:r>
        <w:rPr>
          <w:rFonts w:eastAsia="Times New Roman" w:ascii="Times New Roman" w:hAnsi="Times New Roman"/>
          <w:b/>
          <w:sz w:val="28"/>
          <w:szCs w:val="28"/>
        </w:rPr>
        <w:t>Природне світло:</w:t>
      </w:r>
      <w:r>
        <w:rPr>
          <w:rFonts w:eastAsia="Times New Roman" w:ascii="Times New Roman" w:hAnsi="Times New Roman"/>
          <w:sz w:val="28"/>
          <w:szCs w:val="28"/>
        </w:rPr>
        <w:t xml:space="preserve"> сукупність хвиль, у яких вектор E коливається в усіх можливих напрямках, перпендикулярних до променя, з однаковою ймовірністю.</w:t>
      </w:r>
    </w:p>
    <w:p>
      <w:pPr>
        <w:pStyle w:val="Normal"/>
        <w:numPr>
          <w:ilvl w:val="0"/>
          <w:numId w:val="1"/>
        </w:numPr>
        <w:spacing w:lineRule="auto" w:line="288" w:before="0" w:after="0"/>
        <w:jc w:val="lef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Лінійно (плоско) поляризоване світло:</w:t>
      </w:r>
      <w:r>
        <w:rPr>
          <w:rFonts w:eastAsia="Times New Roman" w:ascii="Times New Roman" w:hAnsi="Times New Roman"/>
          <w:sz w:val="28"/>
          <w:szCs w:val="28"/>
        </w:rPr>
        <w:t xml:space="preserve"> коливання вектора E відбуваються лише в одній площині, яку називають </w:t>
      </w:r>
      <w:r>
        <w:rPr>
          <w:rFonts w:eastAsia="Times New Roman" w:ascii="Times New Roman" w:hAnsi="Times New Roman"/>
          <w:b/>
          <w:sz w:val="28"/>
          <w:szCs w:val="28"/>
        </w:rPr>
        <w:t>площиною поляризації</w:t>
      </w:r>
      <w:r>
        <w:rPr>
          <w:rFonts w:eastAsia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spacing w:lineRule="auto" w:line="288" w:before="0" w:after="0"/>
        <w:jc w:val="lef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Частково поляризоване світло:</w:t>
      </w:r>
      <w:r>
        <w:rPr>
          <w:rFonts w:eastAsia="Times New Roman" w:ascii="Times New Roman" w:hAnsi="Times New Roman"/>
          <w:sz w:val="28"/>
          <w:szCs w:val="28"/>
        </w:rPr>
        <w:t xml:space="preserve"> суміш природного та лінійно поляризованого світла, де один з напрямків коливань є переважним.</w:t>
      </w:r>
    </w:p>
    <w:p>
      <w:pPr>
        <w:pStyle w:val="Normal"/>
        <w:numPr>
          <w:ilvl w:val="0"/>
          <w:numId w:val="1"/>
        </w:numPr>
        <w:spacing w:lineRule="auto" w:line="288" w:before="0" w:after="0"/>
        <w:jc w:val="lef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Еліптично поляризоване світло:</w:t>
      </w:r>
      <w:r>
        <w:rPr>
          <w:rFonts w:eastAsia="Times New Roman" w:ascii="Times New Roman" w:hAnsi="Times New Roman"/>
          <w:sz w:val="28"/>
          <w:szCs w:val="28"/>
        </w:rPr>
        <w:t xml:space="preserve"> кінець вектора E описує еліпс у площині, перпендикулярній до променя. Окремим випадком є </w:t>
      </w:r>
      <w:r>
        <w:rPr>
          <w:rFonts w:eastAsia="Times New Roman" w:ascii="Times New Roman" w:hAnsi="Times New Roman"/>
          <w:b/>
          <w:sz w:val="28"/>
          <w:szCs w:val="28"/>
        </w:rPr>
        <w:t>поляризація по колу (циркулярна)</w:t>
      </w:r>
      <w:r>
        <w:rPr>
          <w:rFonts w:eastAsia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88" w:before="0" w:after="0"/>
        <w:ind w:firstLine="567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spacing w:lineRule="auto" w:line="288" w:before="0" w:after="283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2. Поляризаційні пристрої та закон Малюса</w:t>
      </w:r>
    </w:p>
    <w:p>
      <w:pPr>
        <w:pStyle w:val="BodyText"/>
        <w:spacing w:lineRule="auto" w:line="288"/>
        <w:ind w:hanging="0" w:left="0" w:right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bookmarkStart w:id="2" w:name="p-rc_6439be06be49d5e6-723"/>
      <w:bookmarkEnd w:id="2"/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 xml:space="preserve">Пристрої, що перетворюють природне світло на поляризоване, називаються </w:t>
      </w:r>
      <w:r>
        <w:rPr>
          <w:rFonts w:eastAsia="Times New Roman" w:ascii="Times New Roman" w:hAnsi="Times New Roman"/>
          <w:b/>
          <w:color w:val="000000"/>
          <w:sz w:val="28"/>
          <w:szCs w:val="28"/>
          <w:lang w:eastAsia="ru-RU"/>
        </w:rPr>
        <w:t>поляризаторами</w:t>
      </w: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 xml:space="preserve">. Вони мають «головну площину», через яку вільно проходять лише ті коливання E, що їй паралельні. Аналогічні пристрої, що використовуються для аналізу вже поляризованого світла, називають </w:t>
      </w:r>
      <w:r>
        <w:rPr>
          <w:rFonts w:eastAsia="Times New Roman" w:ascii="Times New Roman" w:hAnsi="Times New Roman"/>
          <w:b/>
          <w:color w:val="000000"/>
          <w:sz w:val="28"/>
          <w:szCs w:val="28"/>
          <w:lang w:eastAsia="ru-RU"/>
        </w:rPr>
        <w:t>аналізаторами</w:t>
      </w: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.</w:t>
      </w:r>
    </w:p>
    <w:p>
      <w:pPr>
        <w:pStyle w:val="Heading3"/>
        <w:spacing w:lineRule="auto" w:line="288" w:before="0" w:after="283"/>
        <w:ind w:hanging="0" w:left="0" w:right="0"/>
        <w:jc w:val="both"/>
        <w:rPr>
          <w:rFonts w:ascii="Times New Roman" w:hAnsi="Times New Roman" w:eastAsia="Times New Roman"/>
          <w:color w:val="000000"/>
          <w:lang w:eastAsia="ru-RU"/>
        </w:rPr>
      </w:pPr>
      <w:bookmarkStart w:id="3" w:name="p-rc_6439be06be49d5e6-723_Copy_1"/>
      <w:bookmarkEnd w:id="3"/>
      <w:r>
        <w:rPr>
          <w:rFonts w:eastAsia="Times New Roman" w:ascii="Times New Roman" w:hAnsi="Times New Roman"/>
          <w:color w:val="000000"/>
          <w:lang w:eastAsia="ru-RU"/>
        </w:rPr>
        <w:t>Закон Малюса</w:t>
      </w:r>
    </w:p>
    <w:p>
      <w:pPr>
        <w:pStyle w:val="BodyText"/>
        <w:spacing w:lineRule="auto" w:line="288"/>
        <w:ind w:hanging="0" w:left="0" w:right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bookmarkStart w:id="4" w:name="p-rc_6439be06be49d5e6-724"/>
      <w:bookmarkEnd w:id="4"/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 xml:space="preserve">Якщо на аналізатор падає лінійно поляризоване світло інтенсивністю I0​, то інтенсивність світла I на виході залежить від кута α між площиною коливань світла та головною площиною аналізатора: </w:t>
      </w:r>
    </w:p>
    <w:p>
      <w:pPr>
        <w:pStyle w:val="BodyText"/>
        <w:spacing w:lineRule="auto" w:line="288" w:before="0" w:after="0"/>
        <w:ind w:hanging="0" w:left="0" w:right="0"/>
        <w:jc w:val="left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bookmarkStart w:id="5" w:name="p-rc_6439be06be49d5e6-724_Copy_1"/>
      <w:bookmarkEnd w:id="5"/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I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sSup>
            <m:e>
              <m:r>
                <w:rPr>
                  <w:rFonts w:ascii="Cambria Math" w:hAnsi="Cambria Math"/>
                </w:rPr>
                <m:t xml:space="preserve">cos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alpha</m:t>
              </m:r>
            </m:e>
          </m:d>
        </m:oMath>
      </m:oMathPara>
    </w:p>
    <w:p>
      <w:pPr>
        <w:pStyle w:val="Normal"/>
        <w:spacing w:lineRule="auto" w:line="288" w:before="0" w:after="0"/>
        <w:ind w:hanging="0" w:left="0" w:right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Цей закон дозволяє визначати орієнтацію площини поляризації.</w:t>
      </w:r>
    </w:p>
    <w:p>
      <w:pPr>
        <w:pStyle w:val="Heading2"/>
        <w:spacing w:lineRule="auto" w:line="288" w:before="0" w:after="0"/>
        <w:ind w:hanging="0" w:left="0" w:right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3. Відбивання світла та формули Френеля</w:t>
      </w:r>
    </w:p>
    <w:p>
      <w:pPr>
        <w:pStyle w:val="BodyText"/>
        <w:spacing w:lineRule="auto" w:line="288"/>
        <w:ind w:hanging="0" w:left="0" w:right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bookmarkStart w:id="6" w:name="p-rc_6439be06be49d5e6-726"/>
      <w:bookmarkEnd w:id="6"/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При падінні світла на межу двох діелектриків (наприклад, повітря та скло) воно частково відбивається і частково заломлюється. Відбите світло завжди стає частково поляризованим.</w:t>
      </w:r>
    </w:p>
    <w:p>
      <w:pPr>
        <w:pStyle w:val="Heading3"/>
        <w:spacing w:lineRule="auto" w:line="288" w:before="0" w:after="0"/>
        <w:ind w:hanging="0" w:left="0" w:right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Формули Френеля</w:t>
      </w:r>
    </w:p>
    <w:p>
      <w:pPr>
        <w:pStyle w:val="BodyText"/>
        <w:spacing w:lineRule="auto" w:line="288"/>
        <w:ind w:hanging="0" w:left="0" w:right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bookmarkStart w:id="7" w:name="p-rc_6439be06be49d5e6-727"/>
      <w:bookmarkEnd w:id="7"/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Ці формули описують інтенсивність відбитого світла для двох компонент вектора E:</w:t>
      </w:r>
    </w:p>
    <w:p>
      <w:pPr>
        <w:pStyle w:val="BodyText"/>
        <w:numPr>
          <w:ilvl w:val="0"/>
          <w:numId w:val="4"/>
        </w:numPr>
        <w:spacing w:lineRule="auto" w:line="288" w:before="0" w:after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Паралельна компонента:</w:t>
      </w:r>
    </w:p>
    <w:p>
      <w:pPr>
        <w:pStyle w:val="BodyText"/>
        <w:numPr>
          <w:ilvl w:val="0"/>
          <w:numId w:val="4"/>
        </w:numPr>
        <w:spacing w:lineRule="auto" w:line="288" w:before="0" w:after="0"/>
        <w:jc w:val="left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/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f>
            <m:num>
              <m:r>
                <w:rPr>
                  <w:rFonts w:ascii="Cambria Math" w:hAnsi="Cambria Math"/>
                </w:rPr>
                <m:t xml:space="preserve">tan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vartheta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vartheta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 xml:space="preserve">tan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vartheta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vartheta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</m:e>
              </m:d>
            </m:den>
          </m:f>
        </m:oMath>
      </m:oMathPara>
    </w:p>
    <w:p>
      <w:pPr>
        <w:pStyle w:val="Normal"/>
        <w:numPr>
          <w:ilvl w:val="0"/>
          <w:numId w:val="4"/>
        </w:numPr>
        <w:spacing w:lineRule="auto" w:line="288" w:before="0" w:after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Перпендикулярна компонента:</w:t>
      </w:r>
    </w:p>
    <w:p>
      <w:pPr>
        <w:pStyle w:val="Normal"/>
        <w:numPr>
          <w:ilvl w:val="0"/>
          <w:numId w:val="4"/>
        </w:numPr>
        <w:spacing w:lineRule="auto" w:line="288" w:before="0" w:after="0"/>
        <w:jc w:val="left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orthogonal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orthogonal</m:t>
              </m:r>
              <m:r>
                <w:rPr>
                  <w:rFonts w:ascii="Cambria Math" w:hAnsi="Cambria Math"/>
                </w:rPr>
                <m:t xml:space="preserve">0</m:t>
              </m:r>
            </m:sub>
          </m:sSub>
          <m:f>
            <m:num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vartheta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vartheta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vartheta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vartheta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</m:e>
              </m:d>
            </m:den>
          </m:f>
        </m:oMath>
      </m:oMathPara>
    </w:p>
    <w:p>
      <w:pPr>
        <w:pStyle w:val="Heading2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4. Закон Брюстера</w:t>
      </w:r>
    </w:p>
    <w:p>
      <w:pPr>
        <w:pStyle w:val="BodyText"/>
        <w:spacing w:lineRule="auto" w:line="288"/>
        <w:ind w:hanging="0" w:left="0" w:right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bookmarkStart w:id="8" w:name="p-rc_6439be06be49d5e6-731"/>
      <w:bookmarkEnd w:id="8"/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Існує особливий кут падіння αb​ (кут Брюстера), при якому відбитий і заломлений промені стають взаємно перпендикулярними.</w:t>
      </w:r>
    </w:p>
    <w:p>
      <w:pPr>
        <w:pStyle w:val="Normal"/>
        <w:numPr>
          <w:ilvl w:val="0"/>
          <w:numId w:val="3"/>
        </w:numPr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Суть закону: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 при падінні під кутом Брюстера паралельна компонента E∣∣​ відбитого світла зникає (E∣∣​=0).</w:t>
      </w:r>
    </w:p>
    <w:p>
      <w:pPr>
        <w:pStyle w:val="Normal"/>
        <w:numPr>
          <w:ilvl w:val="0"/>
          <w:numId w:val="3"/>
        </w:numPr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Результат: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 відбите світло стає </w:t>
      </w: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повністю лінійно поляризованим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 у площині, перпендикулярній до площини падіння.</w:t>
      </w:r>
    </w:p>
    <w:p>
      <w:pPr>
        <w:pStyle w:val="BodyText"/>
        <w:numPr>
          <w:ilvl w:val="0"/>
          <w:numId w:val="3"/>
        </w:numPr>
        <w:spacing w:lineRule="auto" w:line="288" w:before="0" w:after="0"/>
        <w:jc w:val="both"/>
        <w:rPr>
          <w:rFonts w:ascii="Times New Roman" w:hAnsi="Times New Roman" w:eastAsia="Times New Roman"/>
          <w:b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Математичний вираз:</w:t>
      </w:r>
    </w:p>
    <w:p>
      <w:pPr>
        <w:pStyle w:val="BodyText"/>
        <w:numPr>
          <w:ilvl w:val="0"/>
          <w:numId w:val="3"/>
        </w:numPr>
        <w:spacing w:lineRule="auto" w:line="288" w:before="0" w:after="0"/>
        <w:jc w:val="left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tan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vartheta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</m:t>
                  </m:r>
                </m:sub>
              </m:sSub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den>
          </m:f>
        </m:oMath>
      </m:oMathPara>
    </w:p>
    <w:p>
      <w:pPr>
        <w:pStyle w:val="Heading2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5. Подвійне променезаломлення</w:t>
      </w:r>
    </w:p>
    <w:p>
      <w:pPr>
        <w:pStyle w:val="BodyText"/>
        <w:spacing w:lineRule="auto" w:line="288"/>
        <w:ind w:hanging="0" w:left="0" w:right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bookmarkStart w:id="9" w:name="p-rc_6439be06be49d5e6-735"/>
      <w:bookmarkEnd w:id="9"/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У багатьох кристалах (наприклад, ісландський шпат) падаючий промінь роздвоюється на два:</w:t>
      </w:r>
    </w:p>
    <w:p>
      <w:pPr>
        <w:pStyle w:val="Normal"/>
        <w:numPr>
          <w:ilvl w:val="0"/>
          <w:numId w:val="2"/>
        </w:numPr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Звичайний промінь (o):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 підпорядковується законам заломлення.</w:t>
      </w:r>
    </w:p>
    <w:p>
      <w:pPr>
        <w:pStyle w:val="Normal"/>
        <w:numPr>
          <w:ilvl w:val="0"/>
          <w:numId w:val="2"/>
        </w:numPr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Незвичайний промінь (e):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 відхиляється навіть при нормальному падінні.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Обидва промені є лінійно поляризованими у взаємно перпендикулярних площинах. Це явище лежить в основі роботи багатьох поляризаторів, зокрема </w:t>
      </w: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призми Ніколя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.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6147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1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0370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3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14390" cy="529463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529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Таблиця 1: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765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Таблиця 2: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43180</wp:posOffset>
            </wp:positionV>
            <wp:extent cx="5940425" cy="150368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0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tbl>
      <w:tblPr>
        <w:tblW w:w="939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0"/>
        <w:gridCol w:w="788"/>
        <w:gridCol w:w="556"/>
        <w:gridCol w:w="557"/>
        <w:gridCol w:w="556"/>
        <w:gridCol w:w="557"/>
        <w:gridCol w:w="557"/>
        <w:gridCol w:w="556"/>
        <w:gridCol w:w="557"/>
        <w:gridCol w:w="556"/>
        <w:gridCol w:w="560"/>
        <w:gridCol w:w="556"/>
        <w:gridCol w:w="557"/>
        <w:gridCol w:w="556"/>
        <w:gridCol w:w="631"/>
      </w:tblGrid>
      <w:tr>
        <w:trPr>
          <w:tblHeader w:val="true"/>
        </w:trPr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8"/>
                <w:szCs w:val="18"/>
              </w:rPr>
              <w:t>Орієнтація вектора</w:t>
            </w:r>
          </w:p>
        </w:tc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8"/>
                <w:szCs w:val="18"/>
              </w:rPr>
              <w:t>Кут ϑ∘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8"/>
                <w:szCs w:val="18"/>
              </w:rPr>
              <w:t>10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8"/>
                <w:szCs w:val="18"/>
              </w:rPr>
              <w:t>20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8"/>
                <w:szCs w:val="18"/>
              </w:rPr>
              <w:t>25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8"/>
                <w:szCs w:val="18"/>
              </w:rPr>
              <w:t>30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8"/>
                <w:szCs w:val="18"/>
              </w:rPr>
              <w:t>35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8"/>
                <w:szCs w:val="18"/>
              </w:rPr>
              <w:t>40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8"/>
                <w:szCs w:val="18"/>
              </w:rPr>
              <w:t>45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8"/>
                <w:szCs w:val="18"/>
              </w:rPr>
              <w:t>50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8"/>
                <w:szCs w:val="18"/>
              </w:rPr>
              <w:t>55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8"/>
                <w:szCs w:val="18"/>
              </w:rPr>
              <w:t>60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8"/>
                <w:szCs w:val="18"/>
              </w:rPr>
              <w:t>65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8"/>
                <w:szCs w:val="18"/>
              </w:rPr>
              <w:t>70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8"/>
                <w:szCs w:val="18"/>
              </w:rPr>
              <w:t>80</w:t>
            </w:r>
          </w:p>
        </w:tc>
      </w:tr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b/>
                <w:sz w:val="18"/>
                <w:szCs w:val="18"/>
              </w:rPr>
              <w:t>⊥</w:t>
            </w:r>
          </w:p>
        </w:tc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b/>
                <w:sz w:val="18"/>
                <w:szCs w:val="18"/>
              </w:rPr>
              <w:t>U⊥​, В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50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55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60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70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90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100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120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125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145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195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250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270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235</w:t>
            </w:r>
          </w:p>
        </w:tc>
      </w:tr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b/>
                <w:sz w:val="18"/>
                <w:szCs w:val="18"/>
              </w:rPr>
              <w:t>√</w:t>
            </w:r>
            <w:r>
              <w:rPr>
                <w:rFonts w:ascii="Google Sans Text;sans-serif" w:hAnsi="Google Sans Text;sans-serif"/>
                <w:b/>
                <w:sz w:val="18"/>
                <w:szCs w:val="18"/>
              </w:rPr>
              <w:t>U⊥​​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7,07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7,42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7,75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8,37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9,49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10,00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10,95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11,18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12,04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13,96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15,81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16,43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15,33</w:t>
            </w:r>
          </w:p>
        </w:tc>
      </w:tr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b/>
                <w:sz w:val="18"/>
                <w:szCs w:val="18"/>
              </w:rPr>
              <w:t>E⊥​/E0​ (Експ.)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0,313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0,328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0,343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0,370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0,420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0,443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0,485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0,495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0,533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0,618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0,700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0,728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0,679</w:t>
            </w:r>
          </w:p>
        </w:tc>
      </w:tr>
      <w:tr>
        <w:trPr>
          <w:trHeight w:val="245" w:hRule="atLeast"/>
        </w:trPr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b/>
                <w:sz w:val="18"/>
                <w:szCs w:val="18"/>
              </w:rPr>
              <w:t>E⊥​/E0​ (Теор.)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0,180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0,192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0,202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0,214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0,230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0,249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0,274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0,305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0,342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0,388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0,446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0,518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0,713</w:t>
            </w:r>
          </w:p>
        </w:tc>
      </w:tr>
      <w:tr>
        <w:trPr>
          <w:trHeight w:val="396" w:hRule="atLeast"/>
        </w:trPr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b/>
                <w:sz w:val="18"/>
                <w:szCs w:val="18"/>
              </w:rPr>
              <w:t>∥</w:t>
            </w:r>
          </w:p>
        </w:tc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b/>
                <w:sz w:val="18"/>
                <w:szCs w:val="18"/>
              </w:rPr>
              <w:t xml:space="preserve">U∥​​ , </w:t>
            </w:r>
            <w:r>
              <w:rPr>
                <w:rFonts w:ascii="Google Sans Text;sans-serif" w:hAnsi="Google Sans Text;sans-serif"/>
                <w:b/>
                <w:sz w:val="18"/>
                <w:szCs w:val="18"/>
              </w:rPr>
              <w:t>В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50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40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35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25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20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15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10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5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b/>
                <w:sz w:val="18"/>
                <w:szCs w:val="18"/>
              </w:rPr>
              <w:t>0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10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25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70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275</w:t>
            </w:r>
          </w:p>
        </w:tc>
      </w:tr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b/>
                <w:sz w:val="18"/>
                <w:szCs w:val="18"/>
              </w:rPr>
              <w:t>√</w:t>
            </w:r>
            <w:r>
              <w:rPr>
                <w:rFonts w:ascii="Google Sans Text;sans-serif" w:hAnsi="Google Sans Text;sans-serif"/>
                <w:b/>
                <w:sz w:val="18"/>
                <w:szCs w:val="18"/>
              </w:rPr>
              <w:t xml:space="preserve">U∥​​ 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7,07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6,32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5,92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5,00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4,47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3,87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3,16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2,24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0,00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3,16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5,00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8,37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16,58</w:t>
            </w:r>
          </w:p>
        </w:tc>
      </w:tr>
      <w:tr>
        <w:trPr>
          <w:trHeight w:val="657" w:hRule="atLeast"/>
        </w:trPr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E∥​/E0​ (Експ.)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0,313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0,280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0,262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0,221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0,198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0,171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0,140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0,099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b/>
                <w:sz w:val="18"/>
                <w:szCs w:val="18"/>
              </w:rPr>
              <w:t>0,000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0,140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0,221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0,370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0,734</w:t>
            </w:r>
          </w:p>
        </w:tc>
      </w:tr>
      <w:tr>
        <w:trPr>
          <w:trHeight w:val="480" w:hRule="atLeast"/>
        </w:trPr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ind w:hanging="0"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b/>
                <w:sz w:val="18"/>
                <w:szCs w:val="18"/>
              </w:rPr>
              <w:t>E∥​/E0​ (Теор.)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0,172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0,161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0,151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0,138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0,122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0,101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0,075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0,042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b/>
                <w:sz w:val="18"/>
                <w:szCs w:val="18"/>
              </w:rPr>
              <w:t>0,000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0,054</w:t>
            </w: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0,124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0,211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8"/>
                <w:szCs w:val="18"/>
              </w:rPr>
            </w:pPr>
            <w:r>
              <w:rPr>
                <w:rFonts w:ascii="Google Sans Text;sans-serif" w:hAnsi="Google Sans Text;sans-serif"/>
                <w:sz w:val="18"/>
                <w:szCs w:val="18"/>
              </w:rPr>
              <w:t>0,490</w:t>
            </w:r>
          </w:p>
        </w:tc>
      </w:tr>
    </w:tbl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Heading3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1. Загальні розрахункові формули</w:t>
      </w:r>
    </w:p>
    <w:p>
      <w:pPr>
        <w:pStyle w:val="BodyText"/>
        <w:spacing w:lineRule="auto" w:line="288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Цей блок містить основні формули, за якими проводиться обробка результатів.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  <m:oMathPara xmlns:m="http://schemas.openxmlformats.org/officeDocument/2006/math">
        <m:oMathParaPr>
          <m:jc m:val="left"/>
        </m:oMathParaPr>
        <m:oMath>
          <m:eqAr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1. Знаходимо показник заломлення скла за кутом Брюстера 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ϑ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Бp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55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):</m:t>
              </m:r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tg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ϑ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Бp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tg</m:t>
              </m:r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55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∘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≈</m:t>
              </m:r>
              <m:r>
                <w:rPr>
                  <w:rFonts w:ascii="Cambria Math" w:hAnsi="Cambria Math"/>
                </w:rPr>
                <m:t xml:space="preserve">1,428</m:t>
              </m:r>
            </m:e>
            <m:e/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2. Експериментальні відносні амплітуди для 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θ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510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В):</m:t>
              </m:r>
            </m:e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⊥</m:t>
                      </m:r>
                      <m:r>
                        <w:rPr>
                          <w:rFonts w:ascii="Cambria Math" w:hAnsi="Cambria Math"/>
                        </w:rPr>
                        <m:t xml:space="preserve">екс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ad>
                <m:radPr>
                  <m:degHide m:val="1"/>
                </m:radPr>
                <m:deg/>
                <m:e>
                  <m:f>
                    <m:num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⊥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hAnsi="Cambria Math"/>
                </w:rPr>
                <m:t xml:space="preserve">=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50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510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 xml:space="preserve">≈</m:t>
              </m:r>
              <m:r>
                <w:rPr>
                  <w:rFonts w:ascii="Cambria Math" w:hAnsi="Cambria Math"/>
                </w:rPr>
                <m:t xml:space="preserve">0,313</m:t>
              </m:r>
            </m:e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∥</m:t>
                      </m:r>
                      <m:r>
                        <w:rPr>
                          <w:rFonts w:ascii="Cambria Math" w:hAnsi="Cambria Math"/>
                        </w:rPr>
                        <m:t xml:space="preserve">екс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ad>
                <m:radPr>
                  <m:degHide m:val="1"/>
                </m:radPr>
                <m:deg/>
                <m:e>
                  <m:f>
                    <m:num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e>
                        <m:sub/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hAnsi="Cambria Math"/>
                </w:rPr>
                <m:t xml:space="preserve">=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50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510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 xml:space="preserve">≈</m:t>
              </m:r>
              <m:r>
                <w:rPr>
                  <w:rFonts w:ascii="Cambria Math" w:hAnsi="Cambria Math"/>
                </w:rPr>
                <m:t xml:space="preserve">0,313</m:t>
              </m:r>
            </m:e>
            <m:e/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3. Знаходимо кут заломлення 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θ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за законом Снелліуса:</m:t>
              </m:r>
            </m:e>
            <m:e>
              <m:r>
                <w:rPr>
                  <w:rFonts w:ascii="Cambria Math" w:hAnsi="Cambria Math"/>
                </w:rPr>
                <m:t xml:space="preserve">sin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θ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sin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θ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m:t xml:space="preserve"> </m:t>
              </m:r>
              <m:r>
                <w:rPr>
                  <w:rFonts w:ascii="Cambria Math" w:hAnsi="Cambria Math"/>
                </w:rPr>
                <m:t xml:space="preserve">→</m:t>
              </m:r>
              <m:r>
                <m:t xml:space="preserve"> </m:t>
              </m:r>
              <m:r>
                <w:rPr>
                  <w:rFonts w:ascii="Cambria Math" w:hAnsi="Cambria Math"/>
                </w:rPr>
                <m:t xml:space="preserve">sin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θ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∘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1,428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0,1736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1,428</m:t>
                  </m:r>
                </m:den>
              </m:f>
              <m:r>
                <w:rPr>
                  <w:rFonts w:ascii="Cambria Math" w:hAnsi="Cambria Math"/>
                </w:rPr>
                <m:t xml:space="preserve">≈</m:t>
              </m:r>
              <m:r>
                <w:rPr>
                  <w:rFonts w:ascii="Cambria Math" w:hAnsi="Cambria Math"/>
                </w:rPr>
                <m:t xml:space="preserve">0,1215</m:t>
              </m:r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θ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arcsin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0,1215</m:t>
                  </m:r>
                </m:e>
              </m:d>
              <m:r>
                <w:rPr>
                  <w:rFonts w:ascii="Cambria Math" w:hAnsi="Cambria Math"/>
                </w:rPr>
                <m:t xml:space="preserve">≈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6,98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e>
            <m:e/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4. Теоретичні відносні амплітуди за формулами Френеля:</m:t>
              </m:r>
            </m:e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⊥</m:t>
                      </m:r>
                      <m:r>
                        <w:rPr>
                          <w:rFonts w:ascii="Cambria Math" w:hAnsi="Cambria Math"/>
                        </w:rPr>
                        <m:t xml:space="preserve">теор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∘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6,98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∘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∘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6,98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∘</m:t>
                          </m:r>
                        </m:sup>
                      </m:sSup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3,02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∘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16,98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∘</m:t>
                          </m:r>
                        </m:sup>
                      </m:sSup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0,0527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0,2920</m:t>
                  </m:r>
                </m:den>
              </m:f>
              <m:r>
                <w:rPr>
                  <w:rFonts w:ascii="Cambria Math" w:hAnsi="Cambria Math"/>
                </w:rPr>
                <m:t xml:space="preserve">≈</m:t>
              </m:r>
              <m:r>
                <w:rPr>
                  <w:rFonts w:ascii="Cambria Math" w:hAnsi="Cambria Math"/>
                </w:rPr>
                <m:t xml:space="preserve">0,180</m:t>
              </m:r>
            </m:e>
            <m:e/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∥</m:t>
                      </m:r>
                      <m:r>
                        <w:rPr>
                          <w:rFonts w:ascii="Cambria Math" w:hAnsi="Cambria Math"/>
                        </w:rPr>
                        <m:t xml:space="preserve">теор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tg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tg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tg</m:t>
                  </m:r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∘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6,98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∘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tg</m:t>
                  </m:r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∘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6,98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∘</m:t>
                          </m:r>
                        </m:sup>
                      </m:sSup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tg</m:t>
                  </m:r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3,02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∘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tg</m:t>
                  </m:r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16,98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∘</m:t>
                          </m:r>
                        </m:sup>
                      </m:sSup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0,0528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0,3053</m:t>
                  </m:r>
                </m:den>
              </m:f>
              <m:r>
                <w:rPr>
                  <w:rFonts w:ascii="Cambria Math" w:hAnsi="Cambria Math"/>
                </w:rPr>
                <m:t xml:space="preserve">≈</m:t>
              </m:r>
              <m:r>
                <w:rPr>
                  <w:rFonts w:ascii="Cambria Math" w:hAnsi="Cambria Math"/>
                </w:rPr>
                <m:t xml:space="preserve">0,172</m:t>
              </m:r>
            </m:e>
          </m:eqArr>
        </m:oMath>
      </m:oMathPara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330835</wp:posOffset>
            </wp:positionH>
            <wp:positionV relativeFrom="paragraph">
              <wp:posOffset>33020</wp:posOffset>
            </wp:positionV>
            <wp:extent cx="4888865" cy="3249295"/>
            <wp:effectExtent l="0" t="0" r="0" b="0"/>
            <wp:wrapSquare wrapText="largest"/>
            <wp:docPr id="6" name="Object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88" w:before="0" w:after="0"/>
        <w:ind w:hanging="0" w:left="720"/>
        <w:jc w:val="both"/>
        <w:rPr>
          <w:rFonts w:ascii="Times New Roman" w:hAnsi="Times New Roman" w:eastAsia="Times New Roman"/>
          <w:b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b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Висновки:</w:t>
      </w:r>
    </w:p>
    <w:p>
      <w:pPr>
        <w:pStyle w:val="Normal"/>
        <w:numPr>
          <w:ilvl w:val="0"/>
          <w:numId w:val="6"/>
        </w:numPr>
        <w:spacing w:lineRule="auto" w:line="288" w:before="0" w:after="0"/>
        <w:jc w:val="both"/>
        <w:rPr>
          <w:rFonts w:ascii="Times New Roman" w:hAnsi="Times New Roman" w:eastAsia="Times New Roman"/>
          <w:b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За результатами експерименту підтверджено загальний характер залежностей амплітуд відбитих хвиль від кута падіння, що описується формулами Френеля.</w:t>
      </w:r>
    </w:p>
    <w:p>
      <w:pPr>
        <w:pStyle w:val="BodyText"/>
        <w:numPr>
          <w:ilvl w:val="0"/>
          <w:numId w:val="6"/>
        </w:numPr>
        <w:spacing w:lineRule="auto" w:line="288"/>
        <w:jc w:val="both"/>
        <w:rPr>
          <w:rFonts w:ascii="Times New Roman" w:hAnsi="Times New Roman" w:eastAsia="Times New Roman"/>
          <w:b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Знайдено кут Брюстера ϑБ​=55∘, при якому амплітуда паралельної складової вектора напруженості (E∥​) стає рівною нулю. Це означає, що при такому куті падіння відбите світло є повністю лінійно поляризованим.</w:t>
      </w:r>
    </w:p>
    <w:p>
      <w:pPr>
        <w:pStyle w:val="BodyText"/>
        <w:numPr>
          <w:ilvl w:val="0"/>
          <w:numId w:val="6"/>
        </w:numPr>
        <w:spacing w:lineRule="auto" w:line="288" w:before="0" w:after="140"/>
        <w:jc w:val="both"/>
        <w:rPr>
          <w:rFonts w:ascii="Times New Roman" w:hAnsi="Times New Roman" w:eastAsia="Times New Roman"/>
          <w:b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Використовуючи закон Брюстера, обчислено показник заломлення скляної пластинки, який становить n≈1,43.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Liberation Mono">
    <w:altName w:val="Courier New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7473"/>
    <w:pPr>
      <w:widowControl/>
      <w:suppressAutoHyphens w:val="true"/>
      <w:bidi w:val="0"/>
      <w:spacing w:lineRule="auto" w:line="257" w:before="0" w:after="16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uk-UA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ad2352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cd2b1c"/>
    <w:rPr>
      <w:color w:val="808080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478a6"/>
    <w:pPr>
      <w:spacing w:before="0" w:after="16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DefaultDrawingStyle">
    <w:name w:val="Default Drawing Styl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0"/>
      <w:sz w:val="24"/>
      <w:szCs w:val="24"/>
      <w:lang w:val="uk-UA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chart" Target="charts/chart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lang="en-US" sz="1800" b="1" u="none" strike="noStrike">
                <a:solidFill>
                  <a:srgbClr val="000000"/>
                </a:solidFill>
                <a:uFillTx/>
                <a:latin typeface="Calibri"/>
              </a:rPr>
              <a:t>Залежність відносної амплітуди від кута падіння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scatterChart>
        <c:scatterStyle val="lineMarker"/>
        <c:varyColors val="0"/>
        <c:ser>
          <c:idx val="0"/>
          <c:order val="0"/>
          <c:tx>
            <c:strRef>
              <c:f>label 1</c:f>
              <c:strCache>
                <c:ptCount val="1"/>
                <c:pt idx="0">
                  <c:v>E⊥​​ (Експ.)</c:v>
                </c:pt>
              </c:strCache>
            </c:strRef>
          </c:tx>
          <c:spPr>
            <a:solidFill>
              <a:srgbClr val="0000ff"/>
            </a:solidFill>
            <a:ln w="19080">
              <a:solidFill>
                <a:srgbClr val="0000ff"/>
              </a:solidFill>
              <a:round/>
            </a:ln>
          </c:spPr>
          <c:marker>
            <c:symbol val="circle"/>
            <c:size val="6"/>
            <c:spPr>
              <a:solidFill>
                <a:srgbClr val="0000ff"/>
              </a:solidFill>
            </c:spPr>
          </c:marker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1908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0</c:f>
              <c:numCache>
                <c:formatCode>General</c:formatCode>
                <c:ptCount val="13"/>
                <c:pt idx="0">
                  <c:v>10</c:v>
                </c:pt>
                <c:pt idx="1">
                  <c:v>20</c:v>
                </c:pt>
                <c:pt idx="2">
                  <c:v>25</c:v>
                </c:pt>
                <c:pt idx="3">
                  <c:v>30</c:v>
                </c:pt>
                <c:pt idx="4">
                  <c:v>35</c:v>
                </c:pt>
                <c:pt idx="5">
                  <c:v>40</c:v>
                </c:pt>
                <c:pt idx="6">
                  <c:v>45</c:v>
                </c:pt>
                <c:pt idx="7">
                  <c:v>50</c:v>
                </c:pt>
                <c:pt idx="8">
                  <c:v>55</c:v>
                </c:pt>
                <c:pt idx="9">
                  <c:v>60</c:v>
                </c:pt>
                <c:pt idx="10">
                  <c:v>65</c:v>
                </c:pt>
                <c:pt idx="11">
                  <c:v>70</c:v>
                </c:pt>
                <c:pt idx="12">
                  <c:v>80</c:v>
                </c:pt>
              </c:numCache>
            </c:numRef>
          </c:xVal>
          <c:yVal>
            <c:numRef>
              <c:f>1</c:f>
              <c:numCache>
                <c:formatCode>General</c:formatCode>
                <c:ptCount val="13"/>
                <c:pt idx="0">
                  <c:v>0.313</c:v>
                </c:pt>
                <c:pt idx="1">
                  <c:v>0.328</c:v>
                </c:pt>
                <c:pt idx="2">
                  <c:v>0.343</c:v>
                </c:pt>
                <c:pt idx="3">
                  <c:v>0.37</c:v>
                </c:pt>
                <c:pt idx="4">
                  <c:v>0.42</c:v>
                </c:pt>
                <c:pt idx="5">
                  <c:v>0.443</c:v>
                </c:pt>
                <c:pt idx="6">
                  <c:v>0.485</c:v>
                </c:pt>
                <c:pt idx="7">
                  <c:v>0.495</c:v>
                </c:pt>
                <c:pt idx="8">
                  <c:v>0.533</c:v>
                </c:pt>
                <c:pt idx="9">
                  <c:v>0.618</c:v>
                </c:pt>
                <c:pt idx="10">
                  <c:v>0.7</c:v>
                </c:pt>
                <c:pt idx="11">
                  <c:v>0.728</c:v>
                </c:pt>
                <c:pt idx="12">
                  <c:v>0.679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E⊥​​ (Теор.)</c:v>
                </c:pt>
              </c:strCache>
            </c:strRef>
          </c:tx>
          <c:spPr>
            <a:solidFill>
              <a:srgbClr val="00b0f0"/>
            </a:solidFill>
            <a:ln w="19080">
              <a:solidFill>
                <a:srgbClr val="00b0f0"/>
              </a:solidFill>
              <a:round/>
            </a:ln>
          </c:spPr>
          <c:marker>
            <c:symbol val="circle"/>
            <c:size val="6"/>
            <c:spPr>
              <a:solidFill>
                <a:srgbClr val="00b0f0"/>
              </a:solidFill>
            </c:spPr>
          </c:marker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1908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0</c:f>
              <c:numCache>
                <c:formatCode>General</c:formatCode>
                <c:ptCount val="13"/>
                <c:pt idx="0">
                  <c:v>10</c:v>
                </c:pt>
                <c:pt idx="1">
                  <c:v>20</c:v>
                </c:pt>
                <c:pt idx="2">
                  <c:v>25</c:v>
                </c:pt>
                <c:pt idx="3">
                  <c:v>30</c:v>
                </c:pt>
                <c:pt idx="4">
                  <c:v>35</c:v>
                </c:pt>
                <c:pt idx="5">
                  <c:v>40</c:v>
                </c:pt>
                <c:pt idx="6">
                  <c:v>45</c:v>
                </c:pt>
                <c:pt idx="7">
                  <c:v>50</c:v>
                </c:pt>
                <c:pt idx="8">
                  <c:v>55</c:v>
                </c:pt>
                <c:pt idx="9">
                  <c:v>60</c:v>
                </c:pt>
                <c:pt idx="10">
                  <c:v>65</c:v>
                </c:pt>
                <c:pt idx="11">
                  <c:v>70</c:v>
                </c:pt>
                <c:pt idx="12">
                  <c:v>80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13"/>
                <c:pt idx="0">
                  <c:v>0.18</c:v>
                </c:pt>
                <c:pt idx="1">
                  <c:v>0.192</c:v>
                </c:pt>
                <c:pt idx="2">
                  <c:v>0.202</c:v>
                </c:pt>
                <c:pt idx="3">
                  <c:v>0.214</c:v>
                </c:pt>
                <c:pt idx="4">
                  <c:v>0.23</c:v>
                </c:pt>
                <c:pt idx="5">
                  <c:v>0.249</c:v>
                </c:pt>
                <c:pt idx="6">
                  <c:v>0.274</c:v>
                </c:pt>
                <c:pt idx="7">
                  <c:v>0.305</c:v>
                </c:pt>
                <c:pt idx="8">
                  <c:v>0.342</c:v>
                </c:pt>
                <c:pt idx="9">
                  <c:v>0.388</c:v>
                </c:pt>
                <c:pt idx="10">
                  <c:v>0.446</c:v>
                </c:pt>
                <c:pt idx="11">
                  <c:v>0.518</c:v>
                </c:pt>
                <c:pt idx="12">
                  <c:v>0.713</c:v>
                </c:pt>
              </c:numCache>
            </c:numRef>
          </c:yVal>
          <c:smooth val="1"/>
        </c:ser>
        <c:ser>
          <c:idx val="2"/>
          <c:order val="2"/>
          <c:tx>
            <c:strRef>
              <c:f>label 3</c:f>
              <c:strCache>
                <c:ptCount val="1"/>
                <c:pt idx="0">
                  <c:v>E∥​​ (Експ.)</c:v>
                </c:pt>
              </c:strCache>
            </c:strRef>
          </c:tx>
          <c:spPr>
            <a:solidFill>
              <a:srgbClr val="ff0000"/>
            </a:solidFill>
            <a:ln w="19080">
              <a:solidFill>
                <a:srgbClr val="ff0000"/>
              </a:solidFill>
              <a:round/>
            </a:ln>
          </c:spPr>
          <c:marker>
            <c:symbol val="circle"/>
            <c:size val="6"/>
            <c:spPr>
              <a:solidFill>
                <a:srgbClr val="ff0000"/>
              </a:solidFill>
            </c:spPr>
          </c:marker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1908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0</c:f>
              <c:numCache>
                <c:formatCode>General</c:formatCode>
                <c:ptCount val="13"/>
                <c:pt idx="0">
                  <c:v>10</c:v>
                </c:pt>
                <c:pt idx="1">
                  <c:v>20</c:v>
                </c:pt>
                <c:pt idx="2">
                  <c:v>25</c:v>
                </c:pt>
                <c:pt idx="3">
                  <c:v>30</c:v>
                </c:pt>
                <c:pt idx="4">
                  <c:v>35</c:v>
                </c:pt>
                <c:pt idx="5">
                  <c:v>40</c:v>
                </c:pt>
                <c:pt idx="6">
                  <c:v>45</c:v>
                </c:pt>
                <c:pt idx="7">
                  <c:v>50</c:v>
                </c:pt>
                <c:pt idx="8">
                  <c:v>55</c:v>
                </c:pt>
                <c:pt idx="9">
                  <c:v>60</c:v>
                </c:pt>
                <c:pt idx="10">
                  <c:v>65</c:v>
                </c:pt>
                <c:pt idx="11">
                  <c:v>70</c:v>
                </c:pt>
                <c:pt idx="12">
                  <c:v>80</c:v>
                </c:pt>
              </c:numCache>
            </c:numRef>
          </c:xVal>
          <c:yVal>
            <c:numRef>
              <c:f>3</c:f>
              <c:numCache>
                <c:formatCode>General</c:formatCode>
                <c:ptCount val="13"/>
                <c:pt idx="0">
                  <c:v>0.313</c:v>
                </c:pt>
                <c:pt idx="1">
                  <c:v>0.28</c:v>
                </c:pt>
                <c:pt idx="2">
                  <c:v>0.262</c:v>
                </c:pt>
                <c:pt idx="3">
                  <c:v>0.221</c:v>
                </c:pt>
                <c:pt idx="4">
                  <c:v>0.198</c:v>
                </c:pt>
                <c:pt idx="5">
                  <c:v>0.171</c:v>
                </c:pt>
                <c:pt idx="6">
                  <c:v>0.14</c:v>
                </c:pt>
                <c:pt idx="7">
                  <c:v>0.099</c:v>
                </c:pt>
                <c:pt idx="8">
                  <c:v>0</c:v>
                </c:pt>
                <c:pt idx="9">
                  <c:v>0.14</c:v>
                </c:pt>
                <c:pt idx="10">
                  <c:v>0.221</c:v>
                </c:pt>
                <c:pt idx="11">
                  <c:v>0.37</c:v>
                </c:pt>
                <c:pt idx="12">
                  <c:v>0.734</c:v>
                </c:pt>
              </c:numCache>
            </c:numRef>
          </c:yVal>
          <c:smooth val="1"/>
        </c:ser>
        <c:ser>
          <c:idx val="3"/>
          <c:order val="3"/>
          <c:tx>
            <c:strRef>
              <c:f>label 4</c:f>
              <c:strCache>
                <c:ptCount val="1"/>
                <c:pt idx="0">
                  <c:v>E ∥​​ (Теор.)</c:v>
                </c:pt>
              </c:strCache>
            </c:strRef>
          </c:tx>
          <c:spPr>
            <a:solidFill>
              <a:srgbClr val="ffc000"/>
            </a:solidFill>
            <a:ln w="19080">
              <a:solidFill>
                <a:srgbClr val="ffc000"/>
              </a:solidFill>
              <a:round/>
            </a:ln>
          </c:spPr>
          <c:marker>
            <c:symbol val="circle"/>
            <c:size val="6"/>
            <c:spPr>
              <a:solidFill>
                <a:srgbClr val="ffc000"/>
              </a:solidFill>
            </c:spPr>
          </c:marker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1908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0</c:f>
              <c:numCache>
                <c:formatCode>General</c:formatCode>
                <c:ptCount val="13"/>
                <c:pt idx="0">
                  <c:v>10</c:v>
                </c:pt>
                <c:pt idx="1">
                  <c:v>20</c:v>
                </c:pt>
                <c:pt idx="2">
                  <c:v>25</c:v>
                </c:pt>
                <c:pt idx="3">
                  <c:v>30</c:v>
                </c:pt>
                <c:pt idx="4">
                  <c:v>35</c:v>
                </c:pt>
                <c:pt idx="5">
                  <c:v>40</c:v>
                </c:pt>
                <c:pt idx="6">
                  <c:v>45</c:v>
                </c:pt>
                <c:pt idx="7">
                  <c:v>50</c:v>
                </c:pt>
                <c:pt idx="8">
                  <c:v>55</c:v>
                </c:pt>
                <c:pt idx="9">
                  <c:v>60</c:v>
                </c:pt>
                <c:pt idx="10">
                  <c:v>65</c:v>
                </c:pt>
                <c:pt idx="11">
                  <c:v>70</c:v>
                </c:pt>
                <c:pt idx="12">
                  <c:v>80</c:v>
                </c:pt>
              </c:numCache>
            </c:numRef>
          </c:xVal>
          <c:yVal>
            <c:numRef>
              <c:f>4</c:f>
              <c:numCache>
                <c:formatCode>General</c:formatCode>
                <c:ptCount val="13"/>
                <c:pt idx="0">
                  <c:v>0.172</c:v>
                </c:pt>
                <c:pt idx="1">
                  <c:v>0.161</c:v>
                </c:pt>
                <c:pt idx="2">
                  <c:v>0.151</c:v>
                </c:pt>
                <c:pt idx="3">
                  <c:v>0.138</c:v>
                </c:pt>
                <c:pt idx="4">
                  <c:v>0.122</c:v>
                </c:pt>
                <c:pt idx="5">
                  <c:v>0.101</c:v>
                </c:pt>
                <c:pt idx="6">
                  <c:v>0.075</c:v>
                </c:pt>
                <c:pt idx="7">
                  <c:v>0.042</c:v>
                </c:pt>
                <c:pt idx="8">
                  <c:v>0</c:v>
                </c:pt>
                <c:pt idx="9">
                  <c:v>0.054</c:v>
                </c:pt>
                <c:pt idx="10">
                  <c:v>0.124</c:v>
                </c:pt>
                <c:pt idx="11">
                  <c:v>0.211</c:v>
                </c:pt>
                <c:pt idx="12">
                  <c:v>0.49</c:v>
                </c:pt>
              </c:numCache>
            </c:numRef>
          </c:yVal>
          <c:smooth val="1"/>
        </c:ser>
        <c:axId val="40174180"/>
        <c:axId val="69435227"/>
      </c:scatterChart>
      <c:valAx>
        <c:axId val="40174180"/>
        <c:scaling>
          <c:orientation val="minMax"/>
          <c:max val="90"/>
          <c:min val="0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en-US" sz="1000" b="1" u="none" strike="noStrike">
                    <a:solidFill>
                      <a:srgbClr val="000000"/>
                    </a:solidFill>
                    <a:uFillTx/>
                    <a:latin typeface="Calibri"/>
                  </a:rPr>
                  <a:t>Кут падіння (градуси)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9360">
            <a:solidFill>
              <a:srgbClr val="878787"/>
            </a:solidFill>
            <a:round/>
          </a:ln>
        </c:spPr>
        <c:txPr>
          <a:bodyPr/>
          <a:lstStyle/>
          <a:p>
            <a:pPr>
              <a:defRPr sz="1000" b="0" u="none" strike="noStrike">
                <a:solidFill>
                  <a:srgbClr val="000000"/>
                </a:solidFill>
                <a:uFillTx/>
                <a:latin typeface="Calibri"/>
              </a:defRPr>
            </a:pPr>
          </a:p>
        </c:txPr>
        <c:crossAx val="69435227"/>
        <c:crosses val="autoZero"/>
        <c:crossBetween val="midCat"/>
      </c:valAx>
      <c:valAx>
        <c:axId val="69435227"/>
        <c:scaling>
          <c:orientation val="minMax"/>
          <c:min val="0"/>
        </c:scaling>
        <c:delete val="0"/>
        <c:axPos val="l"/>
        <c:majorGridlines>
          <c:spPr>
            <a:ln w="9360">
              <a:solidFill>
                <a:srgbClr val="878787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en-US" sz="1000" b="1" u="none" strike="noStrike">
                    <a:solidFill>
                      <a:srgbClr val="000000"/>
                    </a:solidFill>
                    <a:uFillTx/>
                    <a:latin typeface="Calibri"/>
                  </a:rPr>
                  <a:t>Відносна амплітуда (E/E0)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9360">
            <a:solidFill>
              <a:srgbClr val="878787"/>
            </a:solidFill>
            <a:round/>
          </a:ln>
        </c:spPr>
        <c:txPr>
          <a:bodyPr/>
          <a:lstStyle/>
          <a:p>
            <a:pPr>
              <a:defRPr sz="1000" b="0" u="none" strike="noStrike">
                <a:solidFill>
                  <a:srgbClr val="000000"/>
                </a:solidFill>
                <a:uFillTx/>
                <a:latin typeface="Calibri"/>
              </a:defRPr>
            </a:pPr>
          </a:p>
        </c:txPr>
        <c:crossAx val="40174180"/>
        <c:crosses val="autoZero"/>
        <c:crossBetween val="midCat"/>
      </c:valAx>
      <c:spPr>
        <a:solidFill>
          <a:srgbClr val="ffffff"/>
        </a:solidFill>
        <a:ln w="0">
          <a:noFill/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sz="1000" b="0" u="none" strike="noStrike">
              <a:solidFill>
                <a:srgbClr val="000000"/>
              </a:solidFill>
              <a:uFillTx/>
              <a:latin typeface="Calibri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QT6TiuKfcFWsX8LztNNeEfX6AYw==">AMUW2mVVldolEGBNEIWFtFRYhBJ+zR46peNgq6vhmuIiQJT1CIjPEc1j0uWI5f4QAZMgXiEL31MRblvBpXIXQVliPwVMwW1eG59gjbbePkp6B4Q8n+VrP/I=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29E6F79-C389-48FB-9F43-CFFC8C7C2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Application>LibreOffice/25.8.5.2$Linux_X86_64 LibreOffice_project/580$Build-2</Application>
  <AppVersion>15.0000</AppVersion>
  <Pages>9</Pages>
  <Words>588</Words>
  <Characters>3590</Characters>
  <CharactersWithSpaces>4576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2023-03-02T14:42:00Z</dcterms:created>
  <dc:creator>Ill</dc:creator>
  <dc:description/>
  <dc:language>en-US</dc:language>
  <cp:lastModifiedBy/>
  <dcterms:modified xsi:type="dcterms:W3CDTF">2026-04-19T13:43:09Z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