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88" w:before="0" w:after="0"/>
        <w:jc w:val="center"/>
        <w:rPr/>
      </w:pPr>
      <w:r>
        <w:rPr>
          <w:rFonts w:eastAsia="Times New Roman"/>
          <w:b/>
          <w:sz w:val="28"/>
          <w:szCs w:val="28"/>
        </w:rPr>
        <w:t>Міністерство освіти і науки України</w:t>
        <w:br/>
        <w:t>Національний технічний університет України</w:t>
        <w:br/>
        <w:t>«Київський політехнічний інститут імені Ігоря Сікорського»</w:t>
        <w:br/>
        <w:t>Факультет інформатики та обчислювальної техніки</w:t>
        <w:br/>
        <w:t>Кафедра обчислювальної техніки</w:t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b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lang w:val="ru-RU"/>
        </w:rPr>
      </w:pPr>
      <w:r>
        <w:rPr>
          <w:rFonts w:eastAsia="Times New Roman"/>
          <w:b/>
          <w:sz w:val="28"/>
          <w:szCs w:val="28"/>
        </w:rPr>
        <w:t>Лабораторна робота №</w:t>
      </w:r>
      <w:r>
        <w:rPr>
          <w:rFonts w:eastAsia="Times New Roman"/>
          <w:b/>
          <w:sz w:val="28"/>
          <w:szCs w:val="28"/>
          <w:lang w:val="ru-RU"/>
        </w:rPr>
        <w:t>4</w:t>
      </w:r>
    </w:p>
    <w:p>
      <w:pPr>
        <w:pStyle w:val="Normal"/>
        <w:spacing w:lineRule="auto" w:line="288" w:before="0" w:after="0"/>
        <w:jc w:val="center"/>
        <w:rPr/>
      </w:pPr>
      <w:r>
        <w:rPr>
          <w:rFonts w:eastAsia="Times New Roman"/>
          <w:sz w:val="28"/>
          <w:szCs w:val="28"/>
        </w:rPr>
        <w:t>з дисципліни</w:t>
        <w:br/>
        <w:t>«Фізичні основи комп’ютерних систем»</w:t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Виконав:</w:t>
        <w:tab/>
        <w:tab/>
        <w:tab/>
        <w:t xml:space="preserve">                                                </w:t>
      </w:r>
    </w:p>
    <w:p>
      <w:pPr>
        <w:pStyle w:val="Normal"/>
        <w:spacing w:lineRule="auto" w:line="288" w:before="0" w:after="0"/>
        <w:rPr/>
      </w:pPr>
      <w:r>
        <w:rPr>
          <w:rFonts w:eastAsia="Times New Roman"/>
          <w:sz w:val="28"/>
          <w:szCs w:val="28"/>
        </w:rPr>
        <w:t>студент групи ІМ-44</w:t>
        <w:tab/>
        <w:tab/>
        <w:t xml:space="preserve">                                       </w:t>
        <w:br/>
        <w:t xml:space="preserve">Цебринський Назар Андрійович  </w:t>
        <w:br/>
        <w:t xml:space="preserve">номер в списку групи: </w:t>
      </w:r>
      <w:r>
        <w:rPr>
          <w:rFonts w:eastAsia="Times New Roman"/>
          <w:sz w:val="28"/>
          <w:szCs w:val="28"/>
        </w:rPr>
        <w:t>29</w:t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b/>
          <w:sz w:val="28"/>
          <w:szCs w:val="28"/>
        </w:rPr>
        <w:t>Київ 2026</w:t>
      </w:r>
      <w:r>
        <w:br w:type="page"/>
      </w:r>
    </w:p>
    <w:p>
      <w:pPr>
        <w:pStyle w:val="Normal"/>
        <w:spacing w:lineRule="auto" w:line="288" w:before="0" w:after="0"/>
        <w:ind w:firstLine="567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  <w:t>Основні теоретичні відомості:</w:t>
      </w:r>
    </w:p>
    <w:p>
      <w:pPr>
        <w:pStyle w:val="Normal"/>
        <w:spacing w:lineRule="auto" w:line="288" w:before="0" w:after="0"/>
        <w:ind w:firstLine="567"/>
        <w:jc w:val="center"/>
        <w:rPr>
          <w:rFonts w:ascii="Times New Roman" w:hAnsi="Times New Roman" w:eastAsia="Times New Roman"/>
          <w:sz w:val="28"/>
          <w:szCs w:val="28"/>
        </w:rPr>
      </w:pPr>
      <w:r>
        <w:rPr>
          <w:rFonts w:eastAsia="Times New Roman" w:ascii="Times New Roman" w:hAnsi="Times New Roman"/>
          <w:sz w:val="28"/>
          <w:szCs w:val="28"/>
        </w:rPr>
      </w:r>
    </w:p>
    <w:p>
      <w:pPr>
        <w:pStyle w:val="Heading3"/>
        <w:spacing w:lineRule="auto" w:line="288" w:before="0" w:after="0"/>
        <w:ind w:hanging="0" w:start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Природа спектрів та квантова механіка</w:t>
      </w:r>
    </w:p>
    <w:p>
      <w:pPr>
        <w:pStyle w:val="BodyText"/>
        <w:spacing w:lineRule="auto" w:line="288"/>
        <w:ind w:hanging="0" w:start="0" w:end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bookmarkStart w:id="0" w:name="p-rc_ae6b149053c78e59-101"/>
      <w:bookmarkEnd w:id="0"/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З досліду відомо, що спектри випромінювання й поглинання атомів, які не взаємодіють між собою, є лінійчатими, тобто складаються з окремих вузьких смуг. Частоти (довжини хвиль) та інтенсивності цих ліній визначаються внутрішньою будовою атома і є суворо індивідуальними для кожного сорту атомів. Саме на цьому ґрунтується спектральний аналіз — метод визначення хімічного складу речовини за її оптичним спектром.</w:t>
      </w:r>
    </w:p>
    <w:p>
      <w:pPr>
        <w:pStyle w:val="Heading3"/>
        <w:spacing w:lineRule="auto" w:line="288" w:before="0" w:after="0"/>
        <w:ind w:hanging="0" w:start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Квантові числа та енергетичні стани</w:t>
      </w:r>
    </w:p>
    <w:p>
      <w:pPr>
        <w:pStyle w:val="BodyText"/>
        <w:spacing w:lineRule="auto" w:line="288"/>
        <w:ind w:hanging="0" w:start="0" w:end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bookmarkStart w:id="1" w:name="p-rc_ae6b149053c78e59-103"/>
      <w:bookmarkEnd w:id="1"/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Стан електрона в атомі водню визначається набором квантових чисел:</w:t>
      </w:r>
    </w:p>
    <w:p>
      <w:pPr>
        <w:pStyle w:val="BodyText"/>
        <w:numPr>
          <w:ilvl w:val="0"/>
          <w:numId w:val="1"/>
        </w:numPr>
        <w:spacing w:lineRule="auto" w:line="288" w:before="0" w:after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bookmarkStart w:id="2" w:name="p-rc_ae6b149053c78e59-103_Copy_1"/>
      <w:bookmarkStart w:id="3" w:name="p-rc_ae6b149053c78e59-104"/>
      <w:bookmarkEnd w:id="2"/>
      <w:bookmarkEnd w:id="3"/>
      <w:r>
        <w:rPr>
          <w:rFonts w:eastAsia="Times New Roman" w:ascii="Times New Roman" w:hAnsi="Times New Roman"/>
          <w:b/>
          <w:color w:val="000000"/>
          <w:sz w:val="28"/>
          <w:szCs w:val="28"/>
          <w:lang w:eastAsia="ru-RU"/>
        </w:rPr>
        <w:t>Головне квантове число</w:t>
      </w: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 xml:space="preserve"> n=1,2,3....</w:t>
      </w:r>
    </w:p>
    <w:p>
      <w:pPr>
        <w:pStyle w:val="Normal"/>
        <w:numPr>
          <w:ilvl w:val="0"/>
          <w:numId w:val="1"/>
        </w:numPr>
        <w:spacing w:lineRule="auto" w:line="288" w:before="0" w:after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color w:val="000000"/>
          <w:sz w:val="28"/>
          <w:szCs w:val="28"/>
          <w:lang w:eastAsia="ru-RU"/>
        </w:rPr>
        <w:t>Орбітальне квантове число</w:t>
      </w: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 xml:space="preserve"> l=0,1,2...(n−1).</w:t>
      </w:r>
    </w:p>
    <w:p>
      <w:pPr>
        <w:pStyle w:val="Normal"/>
        <w:numPr>
          <w:ilvl w:val="0"/>
          <w:numId w:val="1"/>
        </w:numPr>
        <w:spacing w:lineRule="auto" w:line="288" w:before="0" w:after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color w:val="000000"/>
          <w:sz w:val="28"/>
          <w:szCs w:val="28"/>
          <w:lang w:eastAsia="ru-RU"/>
        </w:rPr>
        <w:t>Магнітне квантове число</w:t>
      </w: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 xml:space="preserve"> m=0,±1,±2...±l.</w:t>
      </w:r>
    </w:p>
    <w:p>
      <w:pPr>
        <w:pStyle w:val="Normal"/>
        <w:numPr>
          <w:ilvl w:val="0"/>
          <w:numId w:val="1"/>
        </w:numPr>
        <w:spacing w:lineRule="auto" w:line="288" w:before="0" w:after="0"/>
        <w:jc w:val="both"/>
        <w:rPr>
          <w:rFonts w:ascii="Times New Roman" w:hAnsi="Times New Roman" w:eastAsia="Times New Roman"/>
          <w:b/>
          <w:b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color w:val="000000"/>
          <w:sz w:val="28"/>
          <w:szCs w:val="28"/>
          <w:lang w:eastAsia="ru-RU"/>
        </w:rPr>
        <w:t>Існує також спін електрона (ms​=±1/2), який вимагає врахування ще одного квантового числа, хоча це не розглядається безпосередньо в механіці Шрьодінгера.</w:t>
      </w:r>
    </w:p>
    <w:p>
      <w:pPr>
        <w:pStyle w:val="BodyText"/>
        <w:spacing w:lineRule="auto" w:line="288" w:before="0" w:after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t>Кожен можливий набір цих чисел відповідає певній хвильовій функції, що визначає щільність імовірності перебування електрона в просторі. Енергія квантових станів залежить тільки від головного квантового числа n:</w:t>
      </w:r>
    </w:p>
    <w:p>
      <w:pPr>
        <w:pStyle w:val="BodyText"/>
        <w:spacing w:lineRule="auto" w:line="288" w:before="0" w:after="0"/>
        <w:jc w:val="both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lang w:eastAsia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951990" cy="71437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1990" cy="714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BodyText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BodyText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При збільшенні n енергія атома зростає, а енергетичні рівні розміщуються все щільніше. Якщо n→∞, то енергія E→0, і утворюється неперервний спектр енергій (E≥0), що відповідає іонізованому стану атома. Енергія іонізації атома водню дорівнює 13,6 еВ.</w:t>
      </w:r>
    </w:p>
    <w:p>
      <w:pPr>
        <w:pStyle w:val="Heading3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Механізм випромінювання та формула Бальмера</w:t>
      </w:r>
    </w:p>
    <w:p>
      <w:pPr>
        <w:pStyle w:val="BodyText"/>
        <w:spacing w:lineRule="auto" w:line="288"/>
        <w:ind w:hanging="0" w:start="0" w:end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bookmarkStart w:id="4" w:name="p-rc_ae6b149053c78e59-111"/>
      <w:bookmarkEnd w:id="4"/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За квантовою теорією, при переході атома зі стану з вищою енергією En​ у стан із нижчою енергією Em​ випромінюється фотон із енергією ℏωnm​=En​−Em​. Тому у спектрі атома водню спостерігаються дискретні частоти (спектральні лінії).</w:t>
      </w:r>
    </w:p>
    <w:p>
      <w:pPr>
        <w:pStyle w:val="BodyText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Частота цих ліній описується </w:t>
      </w: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узагальненою формулою Бальмера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:</w:t>
      </w:r>
    </w:p>
    <w:p>
      <w:pPr>
        <w:pStyle w:val="BodyText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723390" cy="62865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3390" cy="628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BodyText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де R — стала Рідберга (2,07⋅10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^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16 с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^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−1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)</w:t>
      </w:r>
    </w:p>
    <w:p>
      <w:pPr>
        <w:pStyle w:val="BodyText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Heading3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Спектральні серії водню</w:t>
      </w:r>
    </w:p>
    <w:p>
      <w:pPr>
        <w:pStyle w:val="BodyText"/>
        <w:spacing w:lineRule="auto" w:line="288"/>
        <w:ind w:hanging="0" w:start="0" w:end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bookmarkStart w:id="5" w:name="p-rc_ae6b149053c78e59-114"/>
      <w:bookmarkEnd w:id="5"/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Усі лінії у спектрі атома водню діляться на групи, які називаються спектральними серіями. Серія залежить від того, на який рівень (m) переходить електрон:</w:t>
      </w:r>
    </w:p>
    <w:p>
      <w:pPr>
        <w:pStyle w:val="Normal"/>
        <w:numPr>
          <w:ilvl w:val="0"/>
          <w:numId w:val="3"/>
        </w:numPr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Серія Лаймана: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 усі переходи на рівень m=1. Ці лінії знаходяться в ультрафіолетовій області спектра.</w:t>
      </w:r>
    </w:p>
    <w:p>
      <w:pPr>
        <w:pStyle w:val="Normal"/>
        <w:numPr>
          <w:ilvl w:val="0"/>
          <w:numId w:val="3"/>
        </w:numPr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Серія Бальмера: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 усі переходи на рівень m=2. Містить декілька ліній у видимій області, котрі можна спостерігати візуально.</w:t>
      </w:r>
    </w:p>
    <w:p>
      <w:pPr>
        <w:pStyle w:val="Normal"/>
        <w:numPr>
          <w:ilvl w:val="0"/>
          <w:numId w:val="3"/>
        </w:numPr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Серія Пашена: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 усі переходи на рівень m=3. Відповідає інфрачервоній області спектра.</w:t>
      </w:r>
    </w:p>
    <w:p>
      <w:pPr>
        <w:pStyle w:val="Heading3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Особливості серії Бальмера (видимий спектр)</w:t>
      </w:r>
    </w:p>
    <w:p>
      <w:pPr>
        <w:pStyle w:val="BodyText"/>
        <w:spacing w:lineRule="auto" w:line="288"/>
        <w:ind w:hanging="0" w:start="0" w:end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bookmarkStart w:id="6" w:name="p-rc_ae6b149053c78e59-118"/>
      <w:bookmarkEnd w:id="6"/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Спектральні лінії серії Бальмера прийнято позначати символом водню H з індексами в порядку зростання числа n та частоти:</w:t>
      </w:r>
    </w:p>
    <w:p>
      <w:pPr>
        <w:pStyle w:val="Normal"/>
        <w:numPr>
          <w:ilvl w:val="0"/>
          <w:numId w:val="2"/>
        </w:numPr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Hα​ (перехід з n=3).</w:t>
      </w:r>
    </w:p>
    <w:p>
      <w:pPr>
        <w:pStyle w:val="Normal"/>
        <w:numPr>
          <w:ilvl w:val="0"/>
          <w:numId w:val="2"/>
        </w:numPr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Hβ​ (перехід з n=4).</w:t>
      </w:r>
    </w:p>
    <w:p>
      <w:pPr>
        <w:pStyle w:val="BodyText"/>
        <w:numPr>
          <w:ilvl w:val="0"/>
          <w:numId w:val="2"/>
        </w:numPr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Hγ​ (перехід з n=5).</w:t>
      </w:r>
    </w:p>
    <w:p>
      <w:pPr>
        <w:pStyle w:val="Normal"/>
        <w:numPr>
          <w:ilvl w:val="0"/>
          <w:numId w:val="2"/>
        </w:numPr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Hδ​ (перехід з n=6).</w:t>
      </w:r>
    </w:p>
    <w:p>
      <w:pPr>
        <w:pStyle w:val="Normal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Під час експерименту з газорозрядною лампою атоми водню випромінюють ці спектральні лінії на тлі молекулярного спектра H2​. Молекулярний спектр має вигляд широких смуг із близько розміщених і слабких ліній. Проте атомні лінії (особливо Hα​, Hβ​, Hγ​) розрізнити легко, оскільки вони яскравіші і розміщені далеко одна від одної.</w:t>
      </w:r>
    </w:p>
    <w:p>
      <w:pPr>
        <w:pStyle w:val="BodyText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BodyText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BodyText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Порядок виконання роботи:</w:t>
      </w:r>
    </w:p>
    <w:p>
      <w:pPr>
        <w:pStyle w:val="BodyText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BodyText"/>
        <w:spacing w:lineRule="auto" w:line="288" w:before="0" w:after="0"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872426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724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b/>
          <w:bCs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b/>
          <w:bCs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  <w:t>Виконання роботи</w:t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/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color w:val="000000"/>
          <w:sz w:val="28"/>
          <w:szCs w:val="28"/>
          <w:lang w:eastAsia="ru-RU"/>
        </w:rPr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38315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83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" w:eastAsiaTheme="minorEastAsia" w:ascii="Times New Roman" w:hAnsi="Times New Roman"/>
          <w:sz w:val="28"/>
          <w:szCs w:val="28"/>
          <w:lang w:eastAsia="ru-RU"/>
        </w:rPr>
      </w:r>
    </w:p>
    <w:tbl>
      <w:tblPr>
        <w:tblW w:w="820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680"/>
        <w:gridCol w:w="609"/>
        <w:gridCol w:w="609"/>
        <w:gridCol w:w="609"/>
        <w:gridCol w:w="609"/>
        <w:gridCol w:w="609"/>
        <w:gridCol w:w="609"/>
        <w:gridCol w:w="609"/>
        <w:gridCol w:w="609"/>
        <w:gridCol w:w="654"/>
      </w:tblGrid>
      <w:tr>
        <w:trPr>
          <w:tblHeader w:val="true"/>
        </w:trPr>
        <w:tc>
          <w:tcPr>
            <w:tcW w:w="268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Довжина хвилі λ, A˚</w:t>
            </w:r>
          </w:p>
        </w:tc>
        <w:tc>
          <w:tcPr>
            <w:tcW w:w="6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6907</w:t>
            </w:r>
          </w:p>
        </w:tc>
        <w:tc>
          <w:tcPr>
            <w:tcW w:w="6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5791</w:t>
            </w:r>
          </w:p>
        </w:tc>
        <w:tc>
          <w:tcPr>
            <w:tcW w:w="6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5770</w:t>
            </w:r>
          </w:p>
        </w:tc>
        <w:tc>
          <w:tcPr>
            <w:tcW w:w="6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5461</w:t>
            </w:r>
          </w:p>
        </w:tc>
        <w:tc>
          <w:tcPr>
            <w:tcW w:w="6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4916</w:t>
            </w:r>
          </w:p>
        </w:tc>
        <w:tc>
          <w:tcPr>
            <w:tcW w:w="6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4358</w:t>
            </w:r>
          </w:p>
        </w:tc>
        <w:tc>
          <w:tcPr>
            <w:tcW w:w="6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4348</w:t>
            </w:r>
          </w:p>
        </w:tc>
        <w:tc>
          <w:tcPr>
            <w:tcW w:w="6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4339</w:t>
            </w:r>
          </w:p>
        </w:tc>
        <w:tc>
          <w:tcPr>
            <w:tcW w:w="6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4046</w:t>
            </w:r>
          </w:p>
        </w:tc>
      </w:tr>
      <w:tr>
        <w:trPr/>
        <w:tc>
          <w:tcPr>
            <w:tcW w:w="268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Поділки барабана N</w:t>
            </w:r>
          </w:p>
        </w:tc>
        <w:tc>
          <w:tcPr>
            <w:tcW w:w="6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3328</w:t>
            </w:r>
          </w:p>
        </w:tc>
        <w:tc>
          <w:tcPr>
            <w:tcW w:w="6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2884</w:t>
            </w:r>
          </w:p>
        </w:tc>
        <w:tc>
          <w:tcPr>
            <w:tcW w:w="6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2882</w:t>
            </w:r>
          </w:p>
        </w:tc>
        <w:tc>
          <w:tcPr>
            <w:tcW w:w="6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2696</w:t>
            </w:r>
          </w:p>
        </w:tc>
        <w:tc>
          <w:tcPr>
            <w:tcW w:w="6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2576</w:t>
            </w:r>
          </w:p>
        </w:tc>
        <w:tc>
          <w:tcPr>
            <w:tcW w:w="6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1610</w:t>
            </w:r>
          </w:p>
        </w:tc>
        <w:tc>
          <w:tcPr>
            <w:tcW w:w="6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1594</w:t>
            </w:r>
          </w:p>
        </w:tc>
        <w:tc>
          <w:tcPr>
            <w:tcW w:w="60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1580</w:t>
            </w:r>
          </w:p>
        </w:tc>
        <w:tc>
          <w:tcPr>
            <w:tcW w:w="65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1054</w:t>
            </w:r>
          </w:p>
        </w:tc>
      </w:tr>
    </w:tbl>
    <w:p>
      <w:pPr>
        <w:pStyle w:val="Normal"/>
        <w:spacing w:lineRule="auto" w:line="288" w:before="0" w:after="0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" w:eastAsiaTheme="minorEastAsia" w:ascii="Times New Roman" w:hAnsi="Times New Roman"/>
          <w:sz w:val="28"/>
          <w:szCs w:val="28"/>
          <w:lang w:eastAsia="ru-RU"/>
        </w:rPr>
      </w:r>
    </w:p>
    <w:p>
      <w:pPr>
        <w:pStyle w:val="Heading3"/>
        <w:spacing w:lineRule="auto" w:line="288" w:before="0" w:after="0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" w:eastAsiaTheme="minorEastAsia" w:ascii="Times New Roman" w:hAnsi="Times New Roman"/>
          <w:sz w:val="28"/>
          <w:szCs w:val="28"/>
          <w:lang w:eastAsia="ru-RU"/>
        </w:rPr>
        <w:t>2. Результати дослідження спектра водню</w:t>
      </w:r>
    </w:p>
    <w:p>
      <w:pPr>
        <w:pStyle w:val="BodyText"/>
        <w:spacing w:lineRule="auto" w:line="288"/>
        <w:ind w:hanging="0" w:start="0" w:end="0"/>
        <w:rPr>
          <w:rFonts w:ascii="Times New Roman" w:hAnsi="Times New Roman" w:eastAsia="" w:eastAsiaTheme="minorEastAsia"/>
          <w:sz w:val="28"/>
          <w:szCs w:val="28"/>
          <w:lang w:eastAsia="ru-RU"/>
        </w:rPr>
      </w:pPr>
      <w:bookmarkStart w:id="7" w:name="p-rc_6e1007924641fb88-173"/>
      <w:bookmarkEnd w:id="7"/>
      <w:r>
        <w:rPr>
          <w:rFonts w:eastAsia="" w:eastAsiaTheme="minorEastAsia" w:ascii="Times New Roman" w:hAnsi="Times New Roman"/>
          <w:sz w:val="28"/>
          <w:szCs w:val="28"/>
          <w:lang w:eastAsia="ru-RU"/>
        </w:rPr>
        <w:t>За допомогою побудованого градуювального графіка було визначено довжини хвиль для ліній випромінювання атомів водню.</w:t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" w:eastAsiaTheme="minorEastAsia" w:ascii="Times New Roman" w:hAnsi="Times New Roman"/>
          <w:sz w:val="28"/>
          <w:szCs w:val="28"/>
          <w:lang w:eastAsia="ru-RU"/>
        </w:rPr>
      </w:r>
    </w:p>
    <w:tbl>
      <w:tblPr>
        <w:tblW w:w="696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534"/>
        <w:gridCol w:w="794"/>
        <w:gridCol w:w="794"/>
        <w:gridCol w:w="839"/>
      </w:tblGrid>
      <w:tr>
        <w:trPr>
          <w:tblHeader w:val="true"/>
        </w:trPr>
        <w:tc>
          <w:tcPr>
            <w:tcW w:w="45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Назва лінії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Hα​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Hβ​</w:t>
            </w:r>
          </w:p>
        </w:tc>
        <w:tc>
          <w:tcPr>
            <w:tcW w:w="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start="0" w:end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Hγ​</w:t>
            </w:r>
          </w:p>
        </w:tc>
      </w:tr>
      <w:tr>
        <w:trPr/>
        <w:tc>
          <w:tcPr>
            <w:tcW w:w="45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/>
              <w:spacing w:lineRule="auto" w:line="274" w:before="0" w:after="140"/>
              <w:ind w:hanging="0" w:start="0" w:end="0"/>
              <w:rPr>
                <w:rFonts w:ascii="Google Sans Text;sans-serif" w:hAnsi="Google Sans Text;sans-serif" w:eastAsia="" w:eastAsiaTheme="minorEastAsia"/>
                <w:sz w:val="28"/>
                <w:szCs w:val="28"/>
                <w:lang w:eastAsia="ru-RU"/>
              </w:rPr>
            </w:pPr>
            <w:r>
              <w:rPr>
                <w:rFonts w:eastAsia="" w:eastAsiaTheme="minorEastAsia" w:ascii="Google Sans Text;sans-serif" w:hAnsi="Google Sans Text;sans-serif"/>
                <w:b/>
                <w:sz w:val="28"/>
                <w:szCs w:val="28"/>
                <w:lang w:eastAsia="ru-RU"/>
              </w:rPr>
              <w:t>N’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3216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2210</w:t>
            </w:r>
          </w:p>
        </w:tc>
        <w:tc>
          <w:tcPr>
            <w:tcW w:w="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1586</w:t>
            </w:r>
          </w:p>
        </w:tc>
      </w:tr>
      <w:tr>
        <w:trPr/>
        <w:tc>
          <w:tcPr>
            <w:tcW w:w="45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/>
              <w:spacing w:lineRule="auto" w:line="274" w:before="0" w:after="140"/>
              <w:ind w:hanging="0" w:start="0" w:end="0"/>
              <w:rPr>
                <w:rFonts w:ascii="Google Sans Text;sans-serif" w:hAnsi="Google Sans Text;sans-serif" w:eastAsia="" w:eastAsiaTheme="minorEastAsia"/>
                <w:sz w:val="28"/>
                <w:szCs w:val="28"/>
                <w:lang w:eastAsia="ru-RU"/>
              </w:rPr>
            </w:pPr>
            <w:r>
              <w:rPr>
                <w:rFonts w:eastAsia="" w:eastAsiaTheme="minorEastAsia" w:ascii="Google Sans Text;sans-serif" w:hAnsi="Google Sans Text;sans-serif"/>
                <w:sz w:val="28"/>
                <w:szCs w:val="28"/>
                <w:lang w:eastAsia="ru-RU"/>
              </w:rPr>
              <w:t>λ, A˚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6583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4721</w:t>
            </w:r>
          </w:p>
        </w:tc>
        <w:tc>
          <w:tcPr>
            <w:tcW w:w="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4327</w:t>
            </w:r>
          </w:p>
        </w:tc>
      </w:tr>
      <w:tr>
        <w:trPr/>
        <w:tc>
          <w:tcPr>
            <w:tcW w:w="45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74" w:before="0" w:after="140"/>
              <w:ind w:hanging="0" w:start="0" w:end="0"/>
              <w:rPr>
                <w:rFonts w:ascii="Google Sans Text;sans-serif" w:hAnsi="Google Sans Text;sans-serif" w:eastAsia="" w:eastAsiaTheme="minorEastAsia"/>
                <w:sz w:val="28"/>
                <w:szCs w:val="28"/>
                <w:lang w:eastAsia="ru-RU"/>
              </w:rPr>
            </w:pPr>
            <w:r>
              <w:rPr>
                <w:rFonts w:eastAsia="" w:eastAsiaTheme="minorEastAsia" w:ascii="Google Sans Text;sans-serif" w:hAnsi="Google Sans Text;sans-serif"/>
                <w:b/>
                <w:sz w:val="28"/>
                <w:szCs w:val="28"/>
                <w:lang w:eastAsia="ru-RU"/>
              </w:rPr>
              <w:t>k</w:t>
            </w:r>
            <w:r>
              <w:rPr>
                <w:rFonts w:eastAsia="" w:eastAsiaTheme="minorEastAsia" w:ascii="Google Sans Text;sans-serif" w:hAnsi="Google Sans Text;sans-serif"/>
                <w:sz w:val="28"/>
                <w:szCs w:val="28"/>
                <w:lang w:eastAsia="ru-RU"/>
              </w:rPr>
              <w:t xml:space="preserve"> 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2,99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4,19</w:t>
            </w:r>
          </w:p>
        </w:tc>
        <w:tc>
          <w:tcPr>
            <w:tcW w:w="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5,04</w:t>
            </w:r>
          </w:p>
        </w:tc>
      </w:tr>
      <w:tr>
        <w:trPr/>
        <w:tc>
          <w:tcPr>
            <w:tcW w:w="45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74" w:before="0" w:after="140"/>
              <w:ind w:hanging="0" w:start="0" w:end="0"/>
              <w:rPr>
                <w:rFonts w:ascii="Google Sans Text;sans-serif" w:hAnsi="Google Sans Text;sans-serif" w:eastAsia="" w:eastAsiaTheme="minorEastAsia"/>
                <w:sz w:val="28"/>
                <w:szCs w:val="28"/>
                <w:lang w:eastAsia="ru-RU"/>
              </w:rPr>
            </w:pPr>
            <w:r>
              <w:rPr>
                <w:rFonts w:eastAsia="" w:eastAsiaTheme="minorEastAsia" w:ascii="Google Sans Text;sans-serif" w:hAnsi="Google Sans Text;sans-serif"/>
                <w:b/>
                <w:sz w:val="28"/>
                <w:szCs w:val="28"/>
                <w:lang w:eastAsia="ru-RU"/>
              </w:rPr>
              <w:t xml:space="preserve">k округл. </w:t>
            </w:r>
            <w:r>
              <w:rPr>
                <w:rFonts w:eastAsia="" w:eastAsiaTheme="minorEastAsia" w:ascii="Google Sans Text;sans-serif" w:hAnsi="Google Sans Text;sans-serif"/>
                <w:sz w:val="28"/>
                <w:szCs w:val="28"/>
                <w:lang w:eastAsia="ru-RU"/>
              </w:rPr>
              <w:t xml:space="preserve"> 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3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4</w:t>
            </w:r>
          </w:p>
        </w:tc>
        <w:tc>
          <w:tcPr>
            <w:tcW w:w="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5</w:t>
            </w:r>
          </w:p>
        </w:tc>
      </w:tr>
      <w:tr>
        <w:trPr/>
        <w:tc>
          <w:tcPr>
            <w:tcW w:w="45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74" w:before="0" w:after="140"/>
              <w:ind w:hanging="0" w:start="0" w:end="0"/>
              <w:rPr>
                <w:rFonts w:ascii="Google Sans Text;sans-serif" w:hAnsi="Google Sans Text;sans-serif" w:eastAsia="" w:eastAsiaTheme="minorEastAsia"/>
                <w:sz w:val="28"/>
                <w:szCs w:val="28"/>
                <w:lang w:eastAsia="ru-RU"/>
              </w:rPr>
            </w:pPr>
            <w:r>
              <w:rPr>
                <w:rFonts w:eastAsia="" w:eastAsiaTheme="minorEastAsia" w:ascii="Google Sans Text;sans-serif" w:hAnsi="Google Sans Text;sans-serif"/>
                <w:b/>
                <w:sz w:val="28"/>
                <w:szCs w:val="28"/>
                <w:lang w:eastAsia="ru-RU"/>
              </w:rPr>
              <w:t xml:space="preserve">δk, % 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0,21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4,74</w:t>
            </w:r>
          </w:p>
        </w:tc>
        <w:tc>
          <w:tcPr>
            <w:tcW w:w="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0,76</w:t>
            </w:r>
          </w:p>
        </w:tc>
      </w:tr>
      <w:tr>
        <w:trPr/>
        <w:tc>
          <w:tcPr>
            <w:tcW w:w="45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74" w:before="0" w:after="140"/>
              <w:ind w:hanging="0" w:start="0" w:end="0"/>
              <w:rPr>
                <w:rFonts w:ascii="Google Sans Text;sans-serif" w:hAnsi="Google Sans Text;sans-serif" w:eastAsia="" w:eastAsiaTheme="minorEastAsia"/>
                <w:sz w:val="28"/>
                <w:szCs w:val="28"/>
                <w:lang w:eastAsia="ru-RU"/>
              </w:rPr>
            </w:pPr>
            <w:r>
              <w:rPr>
                <w:rFonts w:eastAsia="" w:eastAsiaTheme="minorEastAsia" w:ascii="Google Sans Text;sans-serif" w:hAnsi="Google Sans Text;sans-serif"/>
                <w:b/>
                <w:sz w:val="28"/>
                <w:szCs w:val="28"/>
                <w:lang w:eastAsia="ru-RU"/>
              </w:rPr>
              <w:t xml:space="preserve">λteop​, A˚ </w:t>
            </w:r>
            <w:r>
              <w:rPr>
                <w:rFonts w:eastAsia="" w:eastAsiaTheme="minorEastAsia" w:ascii="Google Sans Text;sans-serif" w:hAnsi="Google Sans Text;sans-serif"/>
                <w:sz w:val="28"/>
                <w:szCs w:val="28"/>
                <w:lang w:eastAsia="ru-RU"/>
              </w:rPr>
              <w:t xml:space="preserve"> 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6561,1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4860,1</w:t>
            </w:r>
          </w:p>
        </w:tc>
        <w:tc>
          <w:tcPr>
            <w:tcW w:w="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4339,4</w:t>
            </w:r>
          </w:p>
        </w:tc>
      </w:tr>
      <w:tr>
        <w:trPr/>
        <w:tc>
          <w:tcPr>
            <w:tcW w:w="453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74" w:before="0" w:after="140"/>
              <w:ind w:hanging="0" w:start="0" w:end="0"/>
              <w:rPr>
                <w:rFonts w:ascii="Google Sans Text;sans-serif" w:hAnsi="Google Sans Text;sans-serif" w:eastAsia="" w:eastAsiaTheme="minorEastAsia"/>
                <w:sz w:val="28"/>
                <w:szCs w:val="28"/>
                <w:lang w:eastAsia="ru-RU"/>
              </w:rPr>
            </w:pPr>
            <w:r>
              <w:rPr>
                <w:rFonts w:eastAsia="" w:eastAsiaTheme="minorEastAsia" w:ascii="Google Sans Text;sans-serif" w:hAnsi="Google Sans Text;sans-serif"/>
                <w:b/>
                <w:sz w:val="28"/>
                <w:szCs w:val="28"/>
                <w:lang w:eastAsia="ru-RU"/>
              </w:rPr>
              <w:t>δλ, %</w:t>
            </w:r>
            <w:r>
              <w:rPr>
                <w:rFonts w:eastAsia="" w:eastAsiaTheme="minorEastAsia" w:ascii="Google Sans Text;sans-serif" w:hAnsi="Google Sans Text;sans-serif"/>
                <w:sz w:val="28"/>
                <w:szCs w:val="28"/>
                <w:lang w:eastAsia="ru-RU"/>
              </w:rPr>
              <w:t xml:space="preserve"> 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0,33</w:t>
            </w:r>
          </w:p>
        </w:tc>
        <w:tc>
          <w:tcPr>
            <w:tcW w:w="79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2,86</w:t>
            </w:r>
          </w:p>
        </w:tc>
        <w:tc>
          <w:tcPr>
            <w:tcW w:w="83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start="0" w:end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0,29</w:t>
            </w:r>
          </w:p>
        </w:tc>
      </w:tr>
    </w:tbl>
    <w:p>
      <w:pPr>
        <w:pStyle w:val="Normal"/>
        <w:spacing w:lineRule="auto" w:line="288" w:before="0" w:after="0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" w:eastAsiaTheme="minorEastAsia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" w:eastAsiaTheme="minorEastAsia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" w:eastAsiaTheme="minorEastAsia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rFonts w:ascii="Times New Roman" w:hAnsi="Times New Roman" w:eastAsia="Times New Roman"/>
          <w:b/>
          <w:bCs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  <w:t>Розрахункові формули та обчислення:</w:t>
      </w:r>
    </w:p>
    <w:p>
      <w:pPr>
        <w:pStyle w:val="Normal"/>
        <w:spacing w:lineRule="auto" w:line="288" w:before="0" w:after="0"/>
        <w:jc w:val="start"/>
        <w:rPr>
          <w:rFonts w:ascii="Times New Roman" w:hAnsi="Times New Roman" w:eastAsia="Times New Roman"/>
          <w:b/>
          <w:bCs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  <w:t>Експериментальне головне квантове число k:</w:t>
      </w:r>
    </w:p>
    <w:p>
      <w:pPr>
        <w:pStyle w:val="Normal"/>
        <w:spacing w:lineRule="auto" w:line="288" w:before="0" w:after="0"/>
        <w:jc w:val="start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  <m:oMathPara xmlns:m="http://schemas.openxmlformats.org/officeDocument/2006/math">
        <m:oMathParaPr>
          <m:jc m:val="left"/>
        </m:oMathParaPr>
        <m:oMath>
          <m:r>
            <m:t xml:space="preserve">k</m:t>
          </m:r>
          <m:r>
            <m:t xml:space="preserve">=</m:t>
          </m:r>
          <m:f>
            <m:num>
              <m:r>
                <m:t xml:space="preserve">1</m:t>
              </m:r>
            </m:num>
            <m:den>
              <m:rad>
                <m:radPr>
                  <m:degHide m:val="1"/>
                </m:radPr>
                <m:deg/>
                <m:e>
                  <m:r>
                    <m:t xml:space="preserve">0,25</m:t>
                  </m:r>
                  <m:r>
                    <m:t xml:space="preserve">−</m:t>
                  </m:r>
                  <m:f>
                    <m:num>
                      <m:r>
                        <m:t xml:space="preserve">1000</m:t>
                      </m:r>
                    </m:num>
                    <m:den>
                      <m:r>
                        <m:t xml:space="preserve">λ</m:t>
                      </m:r>
                      <m:r>
                        <m:t xml:space="preserve">⋅</m:t>
                      </m:r>
                      <m:sSub>
                        <m:e>
                          <m:r>
                            <m:t xml:space="preserve">R</m:t>
                          </m:r>
                        </m:e>
                        <m:sub>
                          <m:r>
                            <m:t xml:space="preserve">λ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Normal"/>
        <w:spacing w:lineRule="auto" w:line="288" w:before="0" w:after="0"/>
        <w:jc w:val="start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  <m:oMathPara xmlns:m="http://schemas.openxmlformats.org/officeDocument/2006/math">
        <m:oMathParaPr>
          <m:jc m:val="left"/>
        </m:oMathParaPr>
        <m:oMath>
          <m:r>
            <m:t xml:space="preserve">k</m:t>
          </m:r>
          <m:r>
            <m:t xml:space="preserve">=</m:t>
          </m:r>
          <m:f>
            <m:num>
              <m:r>
                <m:t xml:space="preserve">1</m:t>
              </m:r>
            </m:num>
            <m:den>
              <m:rad>
                <m:radPr>
                  <m:degHide m:val="1"/>
                </m:radPr>
                <m:deg/>
                <m:e>
                  <m:r>
                    <m:t xml:space="preserve">0,25</m:t>
                  </m:r>
                  <m:r>
                    <m:t xml:space="preserve">−</m:t>
                  </m:r>
                  <m:f>
                    <m:num>
                      <m:r>
                        <m:t xml:space="preserve">1000</m:t>
                      </m:r>
                    </m:num>
                    <m:den>
                      <m:r>
                        <m:t xml:space="preserve">6583</m:t>
                      </m:r>
                      <m:r>
                        <m:t xml:space="preserve">⋅</m:t>
                      </m:r>
                      <m:r>
                        <m:t xml:space="preserve">1,09737</m:t>
                      </m:r>
                    </m:den>
                  </m:f>
                </m:e>
              </m:rad>
            </m:den>
          </m:f>
          <m:r>
            <m:t xml:space="preserve">=</m:t>
          </m:r>
          <m:f>
            <m:num>
              <m:r>
                <m:t xml:space="preserve">1</m:t>
              </m:r>
            </m:num>
            <m:den>
              <m:rad>
                <m:radPr>
                  <m:degHide m:val="1"/>
                </m:radPr>
                <m:deg/>
                <m:e>
                  <m:r>
                    <m:t xml:space="preserve">0,25</m:t>
                  </m:r>
                  <m:r>
                    <m:t xml:space="preserve">−</m:t>
                  </m:r>
                  <m:r>
                    <m:t xml:space="preserve">0,13843</m:t>
                  </m:r>
                </m:e>
              </m:rad>
            </m:den>
          </m:f>
          <m:r>
            <m:t xml:space="preserve">=</m:t>
          </m:r>
          <m:r>
            <m:t xml:space="preserve">2,99</m:t>
          </m:r>
        </m:oMath>
      </m:oMathPara>
    </w:p>
    <w:p>
      <w:pPr>
        <w:pStyle w:val="Normal"/>
        <w:spacing w:lineRule="auto" w:line="288" w:before="0" w:after="0"/>
        <w:jc w:val="start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Округлене k = 3</w:t>
      </w:r>
    </w:p>
    <w:p>
      <w:pPr>
        <w:pStyle w:val="Normal"/>
        <w:spacing w:lineRule="auto" w:line="288" w:before="0" w:after="0"/>
        <w:jc w:val="start"/>
        <w:rPr>
          <w:rFonts w:ascii="Times New Roman" w:hAnsi="Times New Roman" w:eastAsia="Times New Roman"/>
          <w:b/>
          <w:bCs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  <w:t>Теоретична довжина хвилі:</w:t>
      </w:r>
    </w:p>
    <w:p>
      <w:pPr>
        <w:pStyle w:val="Normal"/>
        <w:spacing w:lineRule="auto" w:line="288" w:before="0" w:after="0"/>
        <w:jc w:val="start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λ</m:t>
              </m:r>
            </m:e>
            <m:sub>
              <m:r>
                <m:rPr>
                  <m:lit/>
                  <m:nor/>
                </m:rPr>
                <m:t xml:space="preserve">теор</m:t>
              </m:r>
            </m:sub>
          </m:sSub>
          <m:r>
            <m:t xml:space="preserve">=</m:t>
          </m:r>
          <m:f>
            <m:num>
              <m:r>
                <m:t xml:space="preserve">1000</m:t>
              </m:r>
            </m:num>
            <m:den>
              <m:sSub>
                <m:e>
                  <m:r>
                    <m:t xml:space="preserve">R</m:t>
                  </m:r>
                </m:e>
                <m:sub>
                  <m:r>
                    <m:t xml:space="preserve">λ</m:t>
                  </m:r>
                </m:sub>
              </m:sSub>
              <m:r>
                <m:t xml:space="preserve">⋅</m:t>
              </m:r>
              <m:d>
                <m:dPr>
                  <m:begChr m:val="("/>
                  <m:endChr m:val=")"/>
                </m:dPr>
                <m:e>
                  <m:r>
                    <m:t xml:space="preserve">0,25</m:t>
                  </m:r>
                  <m:r>
                    <m:t xml:space="preserve">−</m:t>
                  </m:r>
                  <m:f>
                    <m:num>
                      <m:r>
                        <m:t xml:space="preserve">1</m:t>
                      </m:r>
                    </m:num>
                    <m:den>
                      <m:sSubSup>
                        <m:e>
                          <m:r>
                            <m:t xml:space="preserve">k</m:t>
                          </m:r>
                        </m:e>
                        <m:sub>
                          <m:r>
                            <m:rPr>
                              <m:lit/>
                              <m:nor/>
                            </m:rPr>
                            <m:t xml:space="preserve">округл</m:t>
                          </m:r>
                        </m:sub>
                        <m:sup>
                          <m:r>
                            <m:t xml:space="preserve">2</m:t>
                          </m:r>
                        </m:sup>
                      </m:sSubSup>
                    </m:den>
                  </m:f>
                </m:e>
              </m:d>
            </m:den>
          </m:f>
        </m:oMath>
      </m:oMathPara>
    </w:p>
    <w:p>
      <w:pPr>
        <w:pStyle w:val="Normal"/>
        <w:spacing w:lineRule="auto" w:line="288" w:before="0" w:after="0"/>
        <w:jc w:val="start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  <m:oMathPara xmlns:m="http://schemas.openxmlformats.org/officeDocument/2006/math">
        <m:oMathParaPr>
          <m:jc m:val="left"/>
        </m:oMathParaPr>
        <m:oMath>
          <m:sSub>
            <m:e>
              <m:r>
                <m:t xml:space="preserve">λ</m:t>
              </m:r>
            </m:e>
            <m:sub>
              <m:r>
                <m:rPr>
                  <m:lit/>
                  <m:nor/>
                </m:rPr>
                <m:t xml:space="preserve">теор</m:t>
              </m:r>
            </m:sub>
          </m:sSub>
          <m:r>
            <m:t xml:space="preserve">=</m:t>
          </m:r>
          <m:f>
            <m:num>
              <m:r>
                <m:t xml:space="preserve">1000</m:t>
              </m:r>
            </m:num>
            <m:den>
              <m:r>
                <m:t xml:space="preserve">1,09737</m:t>
              </m:r>
              <m:r>
                <m:t xml:space="preserve">⋅</m:t>
              </m:r>
              <m:d>
                <m:dPr>
                  <m:begChr m:val="("/>
                  <m:endChr m:val=")"/>
                </m:dPr>
                <m:e>
                  <m:r>
                    <m:t xml:space="preserve">0,25</m:t>
                  </m:r>
                  <m:r>
                    <m:t xml:space="preserve">−</m:t>
                  </m:r>
                  <m:f>
                    <m:num>
                      <m:r>
                        <m:t xml:space="preserve">1</m:t>
                      </m:r>
                    </m:num>
                    <m:den>
                      <m:sSup>
                        <m:e>
                          <m:r>
                            <m:t xml:space="preserve">3</m:t>
                          </m:r>
                        </m:e>
                        <m:sup>
                          <m:r>
                            <m:t xml:space="preserve">2</m:t>
                          </m:r>
                        </m:sup>
                      </m:sSup>
                    </m:den>
                  </m:f>
                </m:e>
              </m:d>
            </m:den>
          </m:f>
          <m:r>
            <m:t xml:space="preserve">=</m:t>
          </m:r>
          <m:f>
            <m:num>
              <m:r>
                <m:t xml:space="preserve">1000</m:t>
              </m:r>
            </m:num>
            <m:den>
              <m:r>
                <m:t xml:space="preserve">1,09737</m:t>
              </m:r>
              <m:r>
                <m:t xml:space="preserve">⋅</m:t>
              </m:r>
              <m:d>
                <m:dPr>
                  <m:begChr m:val="("/>
                  <m:endChr m:val=")"/>
                </m:dPr>
                <m:e>
                  <m:r>
                    <m:t xml:space="preserve">0,25</m:t>
                  </m:r>
                  <m:r>
                    <m:t xml:space="preserve">−</m:t>
                  </m:r>
                  <m:f>
                    <m:num>
                      <m:r>
                        <m:t xml:space="preserve">1</m:t>
                      </m:r>
                    </m:num>
                    <m:den>
                      <m:r>
                        <m:t xml:space="preserve">9</m:t>
                      </m:r>
                    </m:den>
                  </m:f>
                </m:e>
              </m:d>
            </m:den>
          </m:f>
          <m:r>
            <m:t xml:space="preserve">=</m:t>
          </m:r>
          <m:r>
            <m:t xml:space="preserve">6561,1</m:t>
          </m:r>
          <m:r>
            <m:rPr>
              <m:lit/>
              <m:nor/>
            </m:rPr>
            <m:t xml:space="preserve"> Å</m:t>
          </m:r>
        </m:oMath>
      </m:oMathPara>
    </w:p>
    <w:p>
      <w:pPr>
        <w:pStyle w:val="Normal"/>
        <w:spacing w:lineRule="auto" w:line="288" w:before="0" w:after="0"/>
        <w:jc w:val="start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  <w:t xml:space="preserve">Відносна похибка обчислення квантового числа </w:t>
      </w:r>
      <w:r>
        <w:rPr>
          <w:rStyle w:val="SourceText"/>
          <w:rFonts w:ascii="Times New Roman" w:hAnsi="Times New Roman"/>
          <w:b/>
          <w:bCs/>
          <w:iCs/>
          <w:color w:val="000000"/>
          <w:sz w:val="28"/>
          <w:szCs w:val="28"/>
          <w:lang w:eastAsia="ru-RU"/>
        </w:rPr>
        <w:t>δk</w:t>
      </w: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  <w:t>:</w:t>
      </w:r>
    </w:p>
    <w:p>
      <w:pPr>
        <w:pStyle w:val="Normal"/>
        <w:spacing w:lineRule="auto" w:line="288" w:before="0" w:after="0"/>
        <w:jc w:val="start"/>
        <w:rPr>
          <w:rFonts w:ascii="Times New Roman" w:hAnsi="Times New Roman" w:eastAsia="Times New Roman"/>
          <w:b/>
          <w:bCs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  <m:oMathPara xmlns:m="http://schemas.openxmlformats.org/officeDocument/2006/math">
        <m:oMathParaPr>
          <m:jc m:val="left"/>
        </m:oMathParaPr>
        <m:oMath>
          <m:r>
            <m:t xml:space="preserve">δ</m:t>
          </m:r>
          <m:r>
            <m:t xml:space="preserve">k</m:t>
          </m:r>
          <m:r>
            <m:t xml:space="preserve">=</m:t>
          </m:r>
          <m:f>
            <m:num>
              <m:d>
                <m:dPr>
                  <m:begChr m:val="|"/>
                  <m:endChr m:val="|"/>
                </m:dPr>
                <m:e>
                  <m:r>
                    <m:t xml:space="preserve">k</m:t>
                  </m:r>
                  <m:r>
                    <m:t xml:space="preserve">−</m:t>
                  </m:r>
                  <m:sSub>
                    <m:e>
                      <m:r>
                        <m:t xml:space="preserve">k</m:t>
                      </m:r>
                    </m:e>
                    <m:sub>
                      <m:r>
                        <m:rPr>
                          <m:lit/>
                          <m:nor/>
                        </m:rPr>
                        <m:t xml:space="preserve">округл</m:t>
                      </m:r>
                    </m:sub>
                  </m:sSub>
                </m:e>
              </m:d>
            </m:num>
            <m:den>
              <m:sSub>
                <m:e>
                  <m:r>
                    <m:t xml:space="preserve">k</m:t>
                  </m:r>
                </m:e>
                <m:sub>
                  <m:r>
                    <m:rPr>
                      <m:lit/>
                      <m:nor/>
                    </m:rPr>
                    <m:t xml:space="preserve">округл</m:t>
                  </m:r>
                </m:sub>
              </m:sSub>
            </m:den>
          </m:f>
          <m:r>
            <m:t xml:space="preserve">⋅</m:t>
          </m:r>
          <m:r>
            <m:t xml:space="preserve">100</m:t>
          </m:r>
          <m:r>
            <m:rPr>
              <m:lit/>
              <m:nor/>
            </m:rPr>
            <m:t xml:space="preserve">%</m:t>
          </m:r>
        </m:oMath>
      </m:oMathPara>
    </w:p>
    <w:p>
      <w:pPr>
        <w:pStyle w:val="Normal"/>
        <w:spacing w:lineRule="auto" w:line="288" w:before="0" w:after="0"/>
        <w:jc w:val="start"/>
        <w:rPr>
          <w:rFonts w:ascii="Times New Roman" w:hAnsi="Times New Roman" w:eastAsia="Times New Roman"/>
          <w:b/>
          <w:bCs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  <m:oMathPara xmlns:m="http://schemas.openxmlformats.org/officeDocument/2006/math">
        <m:oMathParaPr>
          <m:jc m:val="left"/>
        </m:oMathParaPr>
        <m:oMath>
          <m:r>
            <m:t xml:space="preserve">δ</m:t>
          </m:r>
          <m:r>
            <m:t xml:space="preserve">k</m:t>
          </m:r>
          <m:r>
            <m:t xml:space="preserve">=</m:t>
          </m:r>
          <m:f>
            <m:num>
              <m:d>
                <m:dPr>
                  <m:begChr m:val="|"/>
                  <m:endChr m:val="|"/>
                </m:dPr>
                <m:e>
                  <m:r>
                    <m:t xml:space="preserve">2,99</m:t>
                  </m:r>
                  <m:r>
                    <m:t xml:space="preserve">−</m:t>
                  </m:r>
                  <m:r>
                    <m:t xml:space="preserve">3</m:t>
                  </m:r>
                </m:e>
              </m:d>
            </m:num>
            <m:den>
              <m:r>
                <m:t xml:space="preserve">3</m:t>
              </m:r>
            </m:den>
          </m:f>
          <m:r>
            <m:t xml:space="preserve">⋅</m:t>
          </m:r>
          <m:r>
            <m:t xml:space="preserve">100</m:t>
          </m:r>
          <m:r>
            <m:rPr>
              <m:lit/>
              <m:nor/>
            </m:rPr>
            <m:t xml:space="preserve">%</m:t>
          </m:r>
          <m:r>
            <m:t xml:space="preserve">=</m:t>
          </m:r>
          <m:r>
            <m:t xml:space="preserve">0,21</m:t>
          </m:r>
          <m:r>
            <m:rPr>
              <m:lit/>
              <m:nor/>
            </m:rPr>
            <m:t xml:space="preserve">%</m:t>
          </m:r>
        </m:oMath>
      </m:oMathPara>
    </w:p>
    <w:p>
      <w:pPr>
        <w:pStyle w:val="Normal"/>
        <w:spacing w:lineRule="auto" w:line="288" w:before="0" w:after="0"/>
        <w:jc w:val="start"/>
        <w:rPr>
          <w:rFonts w:ascii="Times New Roman" w:hAnsi="Times New Roman" w:eastAsia="Times New Roman"/>
          <w:b/>
          <w:bCs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  <w:t xml:space="preserve">Відносна похибка довжини хвилі </w:t>
      </w:r>
      <w:r>
        <w:rPr>
          <w:rStyle w:val="SourceText"/>
          <w:rFonts w:ascii="Times New Roman" w:hAnsi="Times New Roman"/>
          <w:b/>
          <w:bCs/>
          <w:iCs/>
          <w:color w:val="000000"/>
          <w:sz w:val="28"/>
          <w:szCs w:val="28"/>
          <w:lang w:eastAsia="ru-RU"/>
        </w:rPr>
        <w:t>δλ</w:t>
      </w: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  <w:t>:</w:t>
      </w:r>
    </w:p>
    <w:p>
      <w:pPr>
        <w:pStyle w:val="Normal"/>
        <w:spacing w:lineRule="auto" w:line="288" w:before="0" w:after="0"/>
        <w:jc w:val="start"/>
        <w:rPr>
          <w:rFonts w:ascii="Times New Roman" w:hAnsi="Times New Roman" w:eastAsia="Times New Roman"/>
          <w:b/>
          <w:bCs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  <m:oMathPara xmlns:m="http://schemas.openxmlformats.org/officeDocument/2006/math">
        <m:oMathParaPr>
          <m:jc m:val="left"/>
        </m:oMathParaPr>
        <m:oMath>
          <m:r>
            <m:t xml:space="preserve">δ</m:t>
          </m:r>
          <m:r>
            <m:t xml:space="preserve">λ</m:t>
          </m:r>
          <m:r>
            <m:t xml:space="preserve">=</m:t>
          </m:r>
          <m:f>
            <m:num>
              <m:d>
                <m:dPr>
                  <m:begChr m:val="|"/>
                  <m:endChr m:val="|"/>
                </m:dPr>
                <m:e>
                  <m:r>
                    <m:t xml:space="preserve">λ</m:t>
                  </m:r>
                  <m:r>
                    <m:t xml:space="preserve">−</m:t>
                  </m:r>
                  <m:sSub>
                    <m:e>
                      <m:r>
                        <m:t xml:space="preserve">λ</m:t>
                      </m:r>
                    </m:e>
                    <m:sub>
                      <m:r>
                        <m:rPr>
                          <m:lit/>
                          <m:nor/>
                        </m:rPr>
                        <m:t xml:space="preserve">теор</m:t>
                      </m:r>
                    </m:sub>
                  </m:sSub>
                </m:e>
              </m:d>
            </m:num>
            <m:den>
              <m:sSub>
                <m:e>
                  <m:r>
                    <m:t xml:space="preserve">λ</m:t>
                  </m:r>
                </m:e>
                <m:sub>
                  <m:r>
                    <m:rPr>
                      <m:lit/>
                      <m:nor/>
                    </m:rPr>
                    <m:t xml:space="preserve">теор</m:t>
                  </m:r>
                </m:sub>
              </m:sSub>
            </m:den>
          </m:f>
          <m:r>
            <m:t xml:space="preserve">⋅</m:t>
          </m:r>
          <m:r>
            <m:t xml:space="preserve">100</m:t>
          </m:r>
          <m:r>
            <m:rPr>
              <m:lit/>
              <m:nor/>
            </m:rPr>
            <m:t xml:space="preserve">%</m:t>
          </m:r>
        </m:oMath>
      </m:oMathPara>
    </w:p>
    <w:p>
      <w:pPr>
        <w:pStyle w:val="Normal"/>
        <w:spacing w:lineRule="auto" w:line="288" w:before="0" w:after="0"/>
        <w:jc w:val="start"/>
        <w:rPr>
          <w:rFonts w:ascii="Times New Roman" w:hAnsi="Times New Roman" w:eastAsia="Times New Roman"/>
          <w:b/>
          <w:bCs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  <m:oMathPara xmlns:m="http://schemas.openxmlformats.org/officeDocument/2006/math">
        <m:oMathParaPr>
          <m:jc m:val="left"/>
        </m:oMathParaPr>
        <m:oMath>
          <m:r>
            <m:t xml:space="preserve">δ</m:t>
          </m:r>
          <m:r>
            <m:t xml:space="preserve">λ</m:t>
          </m:r>
          <m:r>
            <m:t xml:space="preserve">=</m:t>
          </m:r>
          <m:f>
            <m:num>
              <m:d>
                <m:dPr>
                  <m:begChr m:val="|"/>
                  <m:endChr m:val="|"/>
                </m:dPr>
                <m:e>
                  <m:r>
                    <m:t xml:space="preserve">6583</m:t>
                  </m:r>
                  <m:r>
                    <m:t xml:space="preserve">−</m:t>
                  </m:r>
                  <m:r>
                    <m:t xml:space="preserve">6561,1</m:t>
                  </m:r>
                </m:e>
              </m:d>
            </m:num>
            <m:den>
              <m:r>
                <m:t xml:space="preserve">6561,1</m:t>
              </m:r>
            </m:den>
          </m:f>
          <m:r>
            <m:t xml:space="preserve">⋅</m:t>
          </m:r>
          <m:r>
            <m:t xml:space="preserve">100</m:t>
          </m:r>
          <m:r>
            <m:rPr>
              <m:lit/>
              <m:nor/>
            </m:rPr>
            <m:t xml:space="preserve">%</m:t>
          </m:r>
          <m:r>
            <m:t xml:space="preserve">=</m:t>
          </m:r>
          <m:r>
            <m:t xml:space="preserve">0,33</m:t>
          </m:r>
          <m:r>
            <m:rPr>
              <m:lit/>
              <m:nor/>
            </m:rPr>
            <m:t xml:space="preserve">%</m:t>
          </m:r>
        </m:oMath>
      </m:oMathPara>
    </w:p>
    <w:p>
      <w:pPr>
        <w:pStyle w:val="BodyText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Висновок:</w:t>
      </w:r>
    </w:p>
    <w:p>
      <w:pPr>
        <w:pStyle w:val="BodyText"/>
        <w:spacing w:lineRule="auto" w:line="288" w:before="0" w:after="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У ході лабораторної роботи було досліджено спектр випромінювання атома водню у видимій області спектра. За допомогою градуювального графіка монохроматора УМ-2 було визначено довжини хвиль трьох ліній бальмерівської серії.</w:t>
      </w:r>
    </w:p>
    <w:p>
      <w:pPr>
        <w:pStyle w:val="BodyText"/>
        <w:spacing w:lineRule="auto" w:line="288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Розраховані значення головного квантового числа дозволили віднести досліджені лінії до відповідних електронних переходів в атомі водню: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288"/>
        <w:ind w:hanging="283" w:start="709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Лінія H_α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 (червона) утворюється при переході електрона з третього енергетичного рівня на другий (k=3 -&gt; n=2).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288"/>
        <w:ind w:hanging="283" w:start="709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Лінія H_β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 (блакитна) утворюється при переході з четвертого рівня на другий (k=4 -&gt; n=2).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288"/>
        <w:ind w:hanging="283" w:start="709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iCs/>
          <w:color w:val="000000"/>
          <w:sz w:val="28"/>
          <w:szCs w:val="28"/>
          <w:lang w:eastAsia="ru-RU"/>
        </w:rPr>
        <w:t>Лінія H_γ</w:t>
      </w: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 xml:space="preserve"> (синьо-фіолетова) утворюється при переході з п'ятого рівня на другий (k=5 -&gt; n=2).</w:t>
      </w:r>
    </w:p>
    <w:p>
      <w:pPr>
        <w:pStyle w:val="BodyText"/>
        <w:spacing w:lineRule="auto" w:line="288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  <w:t>Порівняння експериментально визначених довжин хвиль із теоретичними значеннями (розрахованими за узагальненою формулою Бальмера) продемонструвало високу точність експерименту: відносні похибки склали від 0,29% до 2,86%. Це повністю підтверджує достовірність квантово-механічної теорії будови атома водню Бора.</w:t>
      </w:r>
    </w:p>
    <w:p>
      <w:pPr>
        <w:pStyle w:val="BodyText"/>
        <w:spacing w:lineRule="auto" w:line="288"/>
        <w:jc w:val="center"/>
        <w:rPr>
          <w:rFonts w:ascii="Times New Roman" w:hAnsi="Times New Roman" w:eastAsia="Times New Roman"/>
          <w:b/>
          <w:bCs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</w:r>
    </w:p>
    <w:p>
      <w:pPr>
        <w:pStyle w:val="Normal"/>
        <w:spacing w:lineRule="auto" w:line="288" w:before="0" w:after="0"/>
        <w:jc w:val="center"/>
        <w:rPr>
          <w:b/>
          <w:bCs/>
        </w:rPr>
      </w:pPr>
      <w:r>
        <w:rPr>
          <w:rFonts w:eastAsia="Times New Roman" w:ascii="Times New Roman" w:hAnsi="Times New Roman"/>
          <w:b/>
          <w:bCs/>
          <w:iCs/>
          <w:color w:val="000000"/>
          <w:sz w:val="28"/>
          <w:szCs w:val="28"/>
          <w:lang w:eastAsia="ru-RU"/>
        </w:rPr>
        <w:t>Контрольні запитання</w:t>
      </w:r>
    </w:p>
    <w:p>
      <w:pPr>
        <w:pStyle w:val="Normal"/>
        <w:spacing w:lineRule="auto" w:line="288" w:before="0" w:after="0"/>
        <w:ind w:firstLine="720"/>
        <w:jc w:val="center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p>
      <w:pPr>
        <w:pStyle w:val="ListParagraph"/>
        <w:numPr>
          <w:ilvl w:val="0"/>
          <w:numId w:val="0"/>
        </w:numPr>
        <w:suppressAutoHyphens w:val="false"/>
        <w:spacing w:lineRule="auto" w:line="288" w:before="0" w:after="0"/>
        <w:ind w:hanging="0" w:start="0"/>
        <w:contextualSpacing/>
        <w:jc w:val="both"/>
        <w:rPr>
          <w:rFonts w:ascii="Times New Roman" w:hAnsi="Times New Roman" w:eastAsia="Times New Roman"/>
          <w:iCs/>
          <w:color w:val="000000"/>
          <w:sz w:val="28"/>
          <w:szCs w:val="28"/>
          <w:lang w:eastAsia="ru-RU"/>
        </w:rPr>
      </w:pPr>
      <w:r>
        <w:rPr>
          <w:rFonts w:eastAsia="Times New Roman" w:ascii="Times New Roman" w:hAnsi="Times New Roman"/>
          <w:iCs/>
          <w:color w:val="000000"/>
          <w:sz w:val="28"/>
          <w:szCs w:val="28"/>
          <w:lang w:eastAsia="ru-RU"/>
        </w:rPr>
      </w:r>
    </w:p>
    <w:sectPr>
      <w:type w:val="nextPage"/>
      <w:pgSz w:w="11906" w:h="16838"/>
      <w:pgMar w:left="1701" w:right="850" w:gutter="0" w:header="0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Google Sans Text">
    <w:altName w:val="sans-serif"/>
    <w:charset w:val="01" w:characterSet="utf-8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57473"/>
    <w:pPr>
      <w:widowControl/>
      <w:suppressAutoHyphens w:val="true"/>
      <w:bidi w:val="0"/>
      <w:spacing w:lineRule="auto" w:line="257" w:before="0" w:after="160"/>
      <w:jc w:val="start"/>
    </w:pPr>
    <w:rPr>
      <w:rFonts w:ascii="Calibri" w:hAnsi="Calibri" w:eastAsia="Calibri" w:cs="Times New Roman"/>
      <w:color w:val="auto"/>
      <w:kern w:val="0"/>
      <w:sz w:val="22"/>
      <w:szCs w:val="22"/>
      <w:lang w:val="uk-UA" w:eastAsia="zh-CN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rsid w:val="00ad2352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qFormat/>
    <w:rsid w:val="00cd2b1c"/>
    <w:rPr>
      <w:color w:val="808080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e478a6"/>
    <w:pPr>
      <w:spacing w:before="0" w:after="160"/>
      <w:ind w:start="72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roundtripDataSignature="AMtx7mhQT6TiuKfcFWsX8LztNNeEfX6AYw==">AMUW2mVVldolEGBNEIWFtFRYhBJ+zR46peNgq6vhmuIiQJT1CIjPEc1j0uWI5f4QAZMgXiEL31MRblvBpXIXQVliPwVMwW1eG59gjbbePkp6B4Q8n+VrP/I=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29E6F79-C389-48FB-9F43-CFFC8C7C28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841</TotalTime>
  <Application>LibreOffice/25.8.5.2$Linux_X86_64 LibreOffice_project/580$Build-2</Application>
  <AppVersion>15.0000</AppVersion>
  <Pages>7</Pages>
  <Words>602</Words>
  <Characters>3721</Characters>
  <CharactersWithSpaces>4878</CharactersWithSpaces>
  <Paragraphs>111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2023-03-02T14:42:00Z</dcterms:created>
  <dc:creator>Ill</dc:creator>
  <dc:description/>
  <dc:language>en-US</dc:language>
  <cp:lastModifiedBy/>
  <dcterms:modified xsi:type="dcterms:W3CDTF">2026-04-05T13:02:14Z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