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27–29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and </w:t>
      </w:r>
      <w:r>
        <w:rPr>
          <w:b/>
        </w:rPr>
        <w:t>no Bollinger John</w:t>
      </w:r>
      <w:r>
        <w:t xml:space="preserve"> on cards sampled (</w:t>
      </w:r>
      <w:r>
        <w:rPr>
          <w:b/>
        </w:rPr>
        <w:t>C256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After the 1900 census she does not reappear on the Kentucky child Soundex pass or in Pearl’s 1910 Owsley household.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