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now place </w:t>
      </w:r>
      <w:r>
        <w:rPr>
          <w:rFonts w:ascii="Liberation Serif" w:hAnsi="Liberation Serif" w:eastAsia="Liberation Serif"/>
          <w:b/>
          <w:i w:val="0"/>
        </w:rPr>
        <w:t>ED 200</w:t>
      </w:r>
      <w:r>
        <w:rPr>
          <w:rFonts w:ascii="Liberation Serif" w:hAnsi="Liberation Serif" w:eastAsia="Liberation Serif"/>
          <w:b w:val="0"/>
          <w:i w:val="0"/>
        </w:rPr>
        <w:t xml:space="preserve"> at PDF </w:t>
      </w:r>
      <w:r>
        <w:rPr>
          <w:rFonts w:ascii="Liberation Serif" w:hAnsi="Liberation Serif" w:eastAsia="Liberation Serif"/>
          <w:b/>
          <w:i w:val="0"/>
        </w:rPr>
        <w:t>~518–544</w:t>
      </w:r>
      <w:r>
        <w:rPr>
          <w:rFonts w:ascii="Liberation Serif" w:hAnsi="Liberation Serif" w:eastAsia="Liberation Serif"/>
          <w:b w:val="0"/>
          <w:i w:val="0"/>
        </w:rPr>
        <w:t xml:space="preserve">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xml:space="preserve">). Sampled true-ED-200 name columns are </w:t>
      </w:r>
      <w:r>
        <w:rPr>
          <w:rFonts w:ascii="Liberation Serif" w:hAnsi="Liberation Serif" w:eastAsia="Liberation Serif"/>
          <w:b/>
          <w:i w:val="0"/>
        </w:rPr>
        <w:t>nil</w:t>
      </w:r>
      <w:r>
        <w:rPr>
          <w:rFonts w:ascii="Liberation Serif" w:hAnsi="Liberation Serif" w:eastAsia="Liberation Serif"/>
          <w:b w:val="0"/>
          <w:i w:val="0"/>
        </w:rPr>
        <w:t xml:space="preserve"> for P001; remaining Ola/Ward sheets are unread (</w:t>
      </w:r>
      <w:r>
        <w:rPr>
          <w:rFonts w:ascii="Liberation Serif" w:hAnsi="Liberation Serif" w:eastAsia="Liberation Serif"/>
          <w:b/>
          <w:i w:val="0"/>
        </w:rPr>
        <w:t>C348</w:t>
      </w:r>
      <w:r>
        <w:rPr>
          <w:rFonts w:ascii="Liberation Serif" w:hAnsi="Liberation Serif" w:eastAsia="Liberation Serif"/>
          <w:b w:val="0"/>
          <w:i w:val="0"/>
        </w:rPr>
        <w:t xml:space="preserve">). [S308]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At Carter Cemetery (Carter Cove), Find a Grave’s </w:t>
      </w:r>
      <w:r>
        <w:rPr>
          <w:rFonts w:ascii="Liberation Serif" w:hAnsi="Liberation Serif" w:eastAsia="Liberation Serif"/>
          <w:b/>
          <w:i w:val="0"/>
        </w:rPr>
        <w:t>cemetery search</w:t>
      </w:r>
      <w:r>
        <w:rPr>
          <w:rFonts w:ascii="Liberation Serif" w:hAnsi="Liberation Serif" w:eastAsia="Liberation Serif"/>
          <w:b w:val="0"/>
          <w:i w:val="0"/>
        </w:rPr>
        <w:t xml:space="preserve"> (not the individual memorial pages, which Cloudflare blocked from this workspace) lists </w:t>
      </w:r>
      <w:r>
        <w:rPr>
          <w:rFonts w:ascii="Liberation Serif" w:hAnsi="Liberation Serif" w:eastAsia="Liberation Serif"/>
          <w:b/>
          <w:i w:val="0"/>
        </w:rPr>
        <w:t>Dora Newman</w:t>
      </w:r>
      <w:r>
        <w:rPr>
          <w:rFonts w:ascii="Liberation Serif" w:hAnsi="Liberation Serif" w:eastAsia="Liberation Serif"/>
          <w:b w:val="0"/>
          <w:i w:val="0"/>
        </w:rPr>
        <w:t xml:space="preserve"> (memorial 97907837) with </w:t>
      </w:r>
      <w:r>
        <w:rPr>
          <w:rFonts w:ascii="Liberation Serif" w:hAnsi="Liberation Serif" w:eastAsia="Liberation Serif"/>
          <w:b/>
          <w:i w:val="0"/>
        </w:rPr>
        <w:t>no dates</w:t>
      </w:r>
      <w:r>
        <w:rPr>
          <w:rFonts w:ascii="Liberation Serif" w:hAnsi="Liberation Serif" w:eastAsia="Liberation Serif"/>
          <w:b w:val="0"/>
          <w:i w:val="0"/>
        </w:rPr>
        <w:t xml:space="preserve"> on the listing — matching the 1993 spelling under her maiden name — and </w:t>
      </w:r>
      <w:r>
        <w:rPr>
          <w:rFonts w:ascii="Liberation Serif" w:hAnsi="Liberation Serif" w:eastAsia="Liberation Serif"/>
          <w:b/>
          <w:i w:val="0"/>
        </w:rPr>
        <w:t>Thomas Stone</w:t>
      </w:r>
      <w:r>
        <w:rPr>
          <w:rFonts w:ascii="Liberation Serif" w:hAnsi="Liberation Serif" w:eastAsia="Liberation Serif"/>
          <w:b w:val="0"/>
          <w:i w:val="0"/>
        </w:rPr>
        <w:t xml:space="preserve"> (97907931) as </w:t>
      </w:r>
      <w:r>
        <w:rPr>
          <w:rFonts w:ascii="Liberation Serif" w:hAnsi="Liberation Serif" w:eastAsia="Liberation Serif"/>
          <w:b/>
          <w:i w:val="0"/>
        </w:rPr>
        <w:t>1845–1925</w:t>
      </w:r>
      <w:r>
        <w:rPr>
          <w:rFonts w:ascii="Liberation Serif" w:hAnsi="Liberation Serif" w:eastAsia="Liberation Serif"/>
          <w:b w:val="0"/>
          <w:i w:val="0"/>
        </w:rPr>
        <w:t>, beside her in the same yard. Those listings are authored derivatives (</w:t>
      </w:r>
      <w:r>
        <w:rPr>
          <w:rFonts w:ascii="Liberation Serif" w:hAnsi="Liberation Serif" w:eastAsia="Liberation Serif"/>
          <w:b/>
          <w:i w:val="0"/>
        </w:rPr>
        <w:t>S117–S118</w:t>
      </w:r>
      <w:r>
        <w:rPr>
          <w:rFonts w:ascii="Liberation Serif" w:hAnsi="Liberation Serif" w:eastAsia="Liberation Serif"/>
          <w:b w:val="0"/>
          <w:i w:val="0"/>
        </w:rPr>
        <w:t xml:space="preserve">, claim </w:t>
      </w:r>
      <w:r>
        <w:rPr>
          <w:rFonts w:ascii="Liberation Serif" w:hAnsi="Liberation Serif" w:eastAsia="Liberation Serif"/>
          <w:b/>
          <w:i w:val="0"/>
        </w:rPr>
        <w:t>C129</w:t>
      </w:r>
      <w:r>
        <w:rPr>
          <w:rFonts w:ascii="Liberation Serif" w:hAnsi="Liberation Serif" w:eastAsia="Liberation Serif"/>
          <w:b w:val="0"/>
          <w:i w:val="0"/>
        </w:rPr>
        <w:t xml:space="preserve">), not vital records, but they align with the certificate and the copyists’ lines. The compiled yellcountyobits cemetery index (extract dated 29 January 2013), captured 30 October 2026, repeats the same two rows: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 No photograph of either stone is in the case file.</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His own death and stone remain open (</w:t>
      </w:r>
      <w:r>
        <w:rPr>
          <w:rFonts w:ascii="Liberation Serif" w:hAnsi="Liberation Serif" w:eastAsia="Liberation Serif"/>
          <w:b/>
          <w:i w:val="0"/>
        </w:rPr>
        <w:t>B051</w:t>
      </w:r>
      <w:r>
        <w:rPr>
          <w:rFonts w:ascii="Liberation Serif" w:hAnsi="Liberation Serif" w:eastAsia="Liberation Serif"/>
          <w:b w:val="0"/>
          <w:i w:val="0"/>
        </w:rPr>
        <w:t xml:space="preserve">).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Edward, sixteen in the </w:t>
      </w:r>
      <w:r>
        <w:rPr>
          <w:rFonts w:ascii="Liberation Serif" w:hAnsi="Liberation Serif" w:eastAsia="Liberation Serif"/>
          <w:b w:val="0"/>
          <w:i/>
        </w:rPr>
        <w:t>Enterprise</w:t>
      </w:r>
      <w:r>
        <w:rPr>
          <w:rFonts w:ascii="Liberation Serif" w:hAnsi="Liberation Serif" w:eastAsia="Liberation Serif"/>
          <w:b w:val="0"/>
          <w:i w:val="0"/>
        </w:rPr>
        <w:t xml:space="preserve"> and twenty in the </w:t>
      </w:r>
      <w:r>
        <w:rPr>
          <w:rFonts w:ascii="Liberation Serif" w:hAnsi="Liberation Serif" w:eastAsia="Liberation Serif"/>
          <w:b w:val="0"/>
          <w:i/>
        </w:rPr>
        <w:t>Berea Citizen</w:t>
      </w:r>
      <w:r>
        <w:rPr>
          <w:rFonts w:ascii="Liberation Serif" w:hAnsi="Liberation Serif" w:eastAsia="Liberation Serif"/>
          <w:b w:val="0"/>
          <w:i w:val="0"/>
        </w:rPr>
        <w:t xml:space="preserve"> (conflict #19), was killed on the Big Hill pike on 28 September 1936 while visiting uncle Grant of Berea; Clifton, Grant’s son, died the next day. [C357] [C358] Two later daughters are deceased and may be named: Lois Newman (13 April 1915, Vincent – September 1989) and Gladys M. Newman Parker Legner (22 March 1922, Idamay – 9 April 2000). [C360] [C361]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a </w:t>
      </w:r>
      <w:r>
        <w:rPr>
          <w:rFonts w:ascii="Liberation Serif" w:hAnsi="Liberation Serif" w:eastAsia="Liberation Serif"/>
          <w:b/>
          <w:i w:val="0"/>
        </w:rPr>
        <w:t>possible</w:t>
      </w:r>
      <w:r>
        <w:rPr>
          <w:rFonts w:ascii="Liberation Serif" w:hAnsi="Liberation Serif" w:eastAsia="Liberation Serif"/>
          <w:b w:val="0"/>
          <w:i w:val="0"/>
        </w:rP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Carter Cove photographs; the </w:t>
      </w:r>
      <w:r>
        <w:rPr>
          <w:rFonts w:ascii="Liberation Serif" w:hAnsi="Liberation Serif" w:eastAsia="Liberation Serif"/>
          <w:b w:val="0"/>
          <w:i/>
        </w:rPr>
        <w:t>Yell County Journal</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John H.; Mary Bunch’s death (Lee books and recent “Mary M. Bunch” obituaries do not match); Rissie’s Tennessee identification (SortedByName Newnam R-block is nil);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 B047:</w:t>
      </w:r>
      <w:r>
        <w:rPr>
          <w:rFonts w:ascii="Liberation Serif" w:hAnsi="Liberation Serif" w:eastAsia="Liberation Serif"/>
          <w:b w:val="0"/>
          <w:i w:val="0"/>
        </w:rPr>
        <w:t xml:space="preserve"> Samuel P. probate film and M1509 draft cards unread.</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Luther Newnam’s own death (B051 — he was alive Jan 1938 and officiating in 1936); Everett stones / Madison DC / 1910–15 license (B057);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only; Carter Cove stone photographs (B054). </w:t>
      </w:r>
      <w:r>
        <w:rPr>
          <w:rFonts w:ascii="Liberation Serif" w:hAnsi="Liberation Serif" w:eastAsia="Liberation Serif"/>
          <w:b/>
          <w:i w:val="0"/>
        </w:rPr>
        <w:t>B052</w:t>
      </w:r>
      <w:r>
        <w:rPr>
          <w:rFonts w:ascii="Liberation Serif" w:hAnsi="Liberation Serif" w:eastAsia="Liberation Serif"/>
          <w:b w:val="0"/>
          <w:i w:val="0"/>
        </w:rPr>
        <w:t xml:space="preserve"> Shelby × Grace is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findings (</w:t>
      </w:r>
      <w:r>
        <w:rPr>
          <w:rFonts w:ascii="Liberation Serif" w:hAnsi="Liberation Serif" w:eastAsia="Liberation Serif"/>
          <w:b/>
          <w:i w:val="0"/>
        </w:rPr>
        <w:t>C349–C365</w:t>
      </w:r>
      <w:r>
        <w:rPr>
          <w:rFonts w:ascii="Liberation Serif" w:hAnsi="Liberation Serif" w:eastAsia="Liberation Serif"/>
          <w:b w:val="0"/>
          <w:i w:val="0"/>
        </w:rPr>
        <w:t xml:space="preserve">) are filed here; the backlog row stays with owner </w:t>
      </w:r>
      <w:r>
        <w:rPr>
          <w:rFonts w:ascii="Liberation Mono" w:hAnsi="Liberation Mono" w:eastAsia="Liberation Mono"/>
          <w:b w:val="0"/>
          <w:i w:val="0"/>
          <w:sz w:val="18"/>
        </w:rPr>
        <w:t>bc-c5415202</w:t>
      </w:r>
      <w:r>
        <w:rPr>
          <w:rFonts w:ascii="Liberation Serif" w:hAnsi="Liberation Serif" w:eastAsia="Liberation Serif"/>
          <w:b w:val="0"/>
          <w:i w:val="0"/>
        </w:rPr>
        <w:t xml:space="preserve"> until that owner changes status.</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B051</w:t>
      </w:r>
      <w:r>
        <w:rPr>
          <w:rFonts w:ascii="Liberation Serif" w:hAnsi="Liberation Serif" w:eastAsia="Liberation Serif"/>
          <w:b w:val="0"/>
          <w:i w:val="0"/>
        </w:rPr>
        <w:t xml:space="preserve"> (Luther’s own death / stone — free on this tree). Pope Roll 5 (</w:t>
      </w:r>
      <w:r>
        <w:rPr>
          <w:rFonts w:ascii="Liberation Serif" w:hAnsi="Liberation Serif" w:eastAsia="Liberation Serif"/>
          <w:b/>
          <w:i w:val="0"/>
        </w:rPr>
        <w:t>B055</w:t>
      </w:r>
      <w:r>
        <w:rPr>
          <w:rFonts w:ascii="Liberation Serif" w:hAnsi="Liberation Serif" w:eastAsia="Liberation Serif"/>
          <w:b w:val="0"/>
          <w:i w:val="0"/>
        </w:rPr>
        <w:t>) is on-site only. Do not open a fourth 1900–death location campaign.</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