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Sixty-nine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1850 Estill Marcus Gray original, Breathitt’s Taulbee infant Silas and Bryant Siras, and Madison’s John Green house with Silas Green aged twenty,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and 41 (PR #26 Pass 57–58), remaining Greene ED 42–43, 1900 Liberty, and 1900 hh 85 is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Owsley pages 277A–296A is </w:t>
      </w:r>
      <w:r>
        <w:rPr>
          <w:b/>
        </w:rPr>
        <w:t>Silas Ratliff</w:t>
      </w:r>
      <w:r>
        <w:t xml:space="preserve">, eight months old, in Reubin Ratliff’s house on 279A — </w:t>
      </w:r>
      <w:r>
        <w:rPr>
          <w:b/>
        </w:rPr>
        <w:t>not</w:t>
      </w:r>
      <w:r>
        <w:t xml:space="preserve"> this man. [C473] [C474]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probable</w:t>
      </w:r>
      <w:r>
        <w:t xml:space="preserve"> William’s son, not proved. [C349] [C356] [C382]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