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That Jiles is probably the farm labourer, twenty, in Andrew Mayse’s Proctor house in 1870 and the twenty-four-year-old who applied to marry Elizabeth Bowman on 22 March 1873 — a different man from Link, and not proof the two witnesses are the same person. [C125] [C132] [S121] [S125]</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has a candidate explanation. At the Cordy Pendergrass Cemetery in Pebworth, Blanche Evans copied </w:t>
      </w:r>
      <w:r>
        <w:rPr>
          <w:b/>
        </w:rPr>
        <w:t>Larkin Mays</w:t>
      </w:r>
      <w:r>
        <w:t xml:space="preserve">, 8 May 1861 – 8 July 1895, beside </w:t>
      </w:r>
      <w:r>
        <w:rPr>
          <w:b/>
        </w:rPr>
        <w:t>Louisa P. Mays</w:t>
      </w:r>
      <w:r>
        <w:t xml:space="preserve">, 12 December 1861 (family death 13 April 1951), daughter of Cordy and Minerva Thompson Pendergrass — the same parents named for Patsey Farley in the next row. [S119] Patsey’s 1937 obituary called her sister </w:t>
      </w:r>
      <w:r>
        <w:rPr>
          <w:b/>
        </w:rPr>
        <w:t>Mrs. Louisa Mays, Cressmont</w:t>
      </w:r>
      <w:r>
        <w:t xml:space="preserve">. [C130] [S101] The 1920 Sturgeon annotator identified Ida Plowman as daughter of </w:t>
      </w:r>
      <w:r>
        <w:rPr>
          <w:b/>
        </w:rPr>
        <w:t>Larkin T. and Louisa Pendergrass Mays</w:t>
      </w:r>
      <w:r>
        <w:t xml:space="preserve">. [S122] Larkin was twenty-four and living on the December 1885 wedding day and dead before June 1900. </w:t>
      </w:r>
      <w:r>
        <w:rPr>
          <w:b/>
        </w:rPr>
        <w:t>Link</w:t>
      </w:r>
      <w:r>
        <w:t xml:space="preserve"> is a common nickname for Larkin. That is enough for a possible identity, not a merge: no paper yet uses both names. [C131]</w:t>
      </w:r>
    </w:p>
    <w:p>
      <w:r>
        <w:t xml:space="preserve">Mays were already in District 59 in 1880. The mortality schedule Hampton filed for that district lists </w:t>
      </w:r>
      <w:r>
        <w:rPr>
          <w:b/>
        </w:rPr>
        <w:t>Mary Mays</w:t>
      </w:r>
      <w:r>
        <w:t xml:space="preserve">, eighty-three, of household </w:t>
      </w:r>
      <w:r>
        <w:rPr>
          <w:b/>
        </w:rPr>
        <w:t>102</w:t>
      </w:r>
      <w:r>
        <w:t>, dead of paralysis in January. [C133] [S120] Sheets 1–2 around John and Elias do not show her neighbours; the original page for dwelling 102 is still blocked on Internet Archive. [L136]</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[C136]</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[C146] </w:t>
      </w:r>
      <w:r>
        <w:rPr>
          <w:b/>
        </w:rPr>
        <w:t>Partial</w:t>
      </w:r>
      <w:r>
        <w:t xml:space="preserve"> Beattyville </w:t>
      </w:r>
      <w:r>
        <w:rPr>
          <w:b/>
        </w:rPr>
        <w:t>ED 91–98</w:t>
      </w:r>
      <w:r>
        <w:t xml:space="preserve"> originals on NARA </w:t>
      </w:r>
      <w:r>
        <w:rPr>
          <w:b/>
        </w:rPr>
        <w:t>T624-478</w:t>
      </w:r>
      <w:r>
        <w:t xml:space="preserve"> likewise show </w:t>
      </w:r>
      <w:r>
        <w:rPr>
          <w:b/>
        </w:rPr>
        <w:t>no</w:t>
      </w:r>
      <w:r>
        <w:t xml:space="preserve"> P001 line on sheets read; a </w:t>
      </w:r>
      <w:r>
        <w:rPr>
          <w:b/>
        </w:rPr>
        <w:t>Stone, Dora</w:t>
      </w:r>
      <w:r>
        <w:t xml:space="preserve">, 32, wife of </w:t>
      </w:r>
      <w:r>
        <w:rPr>
          <w:b/>
        </w:rPr>
        <w:t>Jas P. Stone</w:t>
      </w:r>
      <w:r>
        <w:t xml:space="preserve"> in ED 98 is a </w:t>
      </w:r>
      <w:r>
        <w:rPr>
          <w:b/>
        </w:rPr>
        <w:t>different woman</w:t>
      </w:r>
      <w:r>
        <w:t xml:space="preserve">. [C150] [C151] [S136] The 1910 Kentucky Soundex </w:t>
      </w:r>
      <w:r>
        <w:rPr>
          <w:b/>
        </w:rPr>
        <w:t>Ella</w:t>
      </w:r>
      <w:r>
        <w:t xml:space="preserve"> wife-on-husband reel remains unread here. [B044]</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[C139] Her father Elias T. Newman, widowed, is in </w:t>
      </w:r>
      <w:r>
        <w:rPr>
          <w:b/>
        </w:rPr>
        <w:t>Beattyville</w:t>
      </w:r>
      <w:r>
        <w:t xml:space="preserve">, Lee County, in C. B. Burke’s postmaster household — Dora is </w:t>
      </w:r>
      <w:r>
        <w:rPr>
          <w:b/>
        </w:rPr>
        <w:t>not</w:t>
      </w:r>
      <w:r>
        <w:t xml:space="preserve"> there. [C091] [C141]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S134</w:t>
      </w:r>
      <w:r>
        <w:t xml:space="preserve">); </w:t>
      </w:r>
      <w:r>
        <w:rPr>
          <w:b/>
        </w:rPr>
        <w:t>P001 is not on that enumeration</w:t>
      </w:r>
      <w:r>
        <w:t xml:space="preserve"> (</w:t>
      </w:r>
      <w:r>
        <w:rPr>
          <w:b/>
        </w:rPr>
        <w:t>C147</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C149</w:t>
      </w:r>
      <w:r>
        <w:t xml:space="preserve">). [S135] Near-miss </w:t>
      </w:r>
      <w:r>
        <w:rPr>
          <w:b/>
        </w:rPr>
        <w:t>Dora Stone</w:t>
      </w:r>
      <w:r>
        <w:t xml:space="preserve"> lines in ED 200 and ED 191 were </w:t>
      </w:r>
      <w:r>
        <w:rPr>
          <w:b/>
        </w:rPr>
        <w:t>rejected</w:t>
      </w:r>
      <w:r>
        <w:t xml:space="preserve"> as other households. [C148] [C149]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[C144]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[C143]</w:t>
      </w:r>
    </w:p>
    <w:p>
      <w:r>
        <w:rPr>
          <w:b/>
        </w:rPr>
        <w:t>23 August 1926 — PROVEN.</w:t>
      </w:r>
      <w:r>
        <w:t xml:space="preserve"> Death at </w:t>
      </w:r>
      <w:r>
        <w:rPr>
          <w:b/>
        </w:rPr>
        <w:t>Ola</w:t>
      </w:r>
      <w:r>
        <w:t xml:space="preserve">, Yell County, Arkansas; burial </w:t>
      </w:r>
      <w:r>
        <w:rPr>
          <w:b/>
        </w:rPr>
        <w:t>Carters Chapel / Carter Cemetery</w:t>
      </w:r>
      <w:r>
        <w:t>, Lamar Township (Carter Cove). [C015] [C138]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Conflict #4 and #11: which Missouri Thomas Stone, if any, is the 1920 Perry County widower.</w:t>
      </w:r>
    </w:p>
    <w:p>
      <w:pPr>
        <w:pStyle w:val="ListBullet"/>
      </w:pPr>
      <w:r>
        <w:t>Conflict #13: whether the 1910 Sturgeon enumerator signed Elam Brandenburg or Elton E. Newnam.</w:t>
      </w:r>
    </w:p>
    <w:p>
      <w:pPr>
        <w:pStyle w:val="ListBullet"/>
      </w:pPr>
      <w:r>
        <w:t>John H.; Mary Bunch’s death (Lee books and recent “Mary M. Bunch” obituaries do not match); Rissie’s Tennessee identification; the two unnamed children.</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