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fifty-six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mapped but not every-line closed: Booneville Town opens with no Barrett head; Booneville magisterial district 1 dwelling 85 is Barrett, Walker, thirty-eight, with Rosie — not John of about eighty-five — and Bowman Elisha’s Ollie, Mayers’s Ollie, and Beard James are other people.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1900–1903 and Webster 1860–1900 have other Josephines. The federal pension index remains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mapped, not every-line closed: Booneville Town’s opener has no Barrett head; Booneville magisterial district 1 dwelling 85 is Barrett, Walker, thirty-eight, with Rosie, Daily, Stella, Fred, Berlin, Marie, and Geneva — not John of about eighty-five — and Bowman Elisha’s Ollie, Mayers’s Ollie, and Beard James of twenty-seven are other people.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1900–1903 and Webster 1860–1900 have other Josephines.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