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Two hundred six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A December 2023 USGenWeb file titled as the complete 1884–1903 marriage books is 1884 only and has no Josephine Newnam × Gilbert license. Boyd County’s 1860–1920 clerk-microfilm marriage database has no Josephine Newnam × Gilbert license in 1902. Webster County’s January–December 1902 marriage books have no Josephine Newnam × Gilbert license. Elliott County’s surviving marriage books begin in 1934 after the December 1957 courthouse fire, so they cannot cover 1902. Muhlenberg County’s compiled 1895–1901 marriage book has no Josephine Newnam × Gilbert license (and no 1902 row). Muhlenberg County’s 1798–1965 white marriage index has no Josephine Newnam × Gilbert license in 1902.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a later retry returned the Catalog SPA shell (5,454 bytes, not IIIF JSON), and a subsequent retry timed out after twenty-five seconds with zero bytes, and another subsequent retry timed out after twenty-five seconds with zero bytes, and a later retry again returned the Catalog SPA shell (5,454 bytes, not IIIF JSON);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 [C1107] [C1108] [C1109] [C1110] [C1111] [C1112] [C1113] [C1114] [C1115] [C1116] [C1117] [C1118] [C1119] [C1120] [C1121] [C1122] [C1123] [C1124] [C1125] [C1126] [C1127] [C1128] [C1129] [C1130] [C1131] [C1132] [C1133] [C1134]</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