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of rural Campbell ED </w:t>
      </w:r>
      <w:r>
        <w:rPr>
          <w:b/>
        </w:rPr>
        <w:t>37</w:t>
      </w:r>
      <w:r>
        <w:t xml:space="preserve"> has now been read: the only Stone head is the already-known Thomas A. household on sheet 18A; sheet 17A line 1 is Elizabeth J. Stone, mother-in-law in the Hinshaw house. [C274] [C112] [C117]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Sampled ED </w:t>
      </w:r>
      <w:r>
        <w:rPr>
          <w:b/>
        </w:rPr>
        <w:t>37</w:t>
      </w:r>
      <w:r>
        <w:t xml:space="preserve"> A-sides outside sheet 18A are nil for a second Stone head. [C271]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