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Two hundred five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Lewis County’s compiled marriage OCR through 1900 has no Josephine Newnam × Gilbert. Knott Marriage Book 2 covering 1902–1903 repeats Josephin Slone × Milton Slone on 26 August 1903, already disproved. Casey County’s additional compiled marriages covering 1805–1959, including three 1902 couples, have no Josephine Newnam × Gilbert. Casey’s 1800–1900 bride and groom indexes cover through 1900 and name other Josephines, not a 1902 Newnam license. A Johnson County 1900–1920 compiled volume is identified on the Internet Archive but the file is borrow-restricted and unread. Lincoln County’s Genealogy Trails extract from the 1852–1910 vital-statistics film names other Josephines through 1878 and has no 1902 row in the opened table. Wayne’s first marriage book covers 1801–1813 only. A searchable Rowan 1856–1920 compilation (2,795 rows, 101 of them in 1902) has no Josephine Newnam × Gilbert license. Rowan’s USGenWeb Archives vitals page holds eleven submitted marriage files from 1856 to 1930, none a 1902 Newnam license. Letcher USGW slices 1884–1897 name other Josephines. A December 2023 USGenWeb file titled as the complete 1884–1903 marriage books is 1884 only and has no Josephine Newnam × Gilbert license. Boyd County’s 1860–1920 clerk-microfilm marriage database has no Josephine Newnam × Gilbert license in 1902. Webster County’s January–December 1902 marriage books have no Josephine Newnam × Gilbert license. Elliott County’s surviving marriage books begin in 1934 after the December 1957 courthouse fire, so they cannot cover 1902. Muhlenberg County’s compiled 1895–1901 marriage book has no Josephine Newnam × Gilbert license (and no 1902 row). The federal pension index is identified to NARA rolls 347 and 348 (Catalog series 563268; reel file-unit identifiers known); an IIIF metadata path for reel 348 timed out at forty seconds on both reels and again at fifteen seconds on reel 348, a later retry returned HTTP 502 from both reels, and further retries timed out at twenty, twenty-five, twenty-two, thirty, another twenty, and another fifteen seconds with zero bytes; a later retry returned the Catalog SPA shell (5,454 bytes, not IIIF JSON), and a subsequent retry timed out after twenty-five seconds with zero bytes, and another subsequent retry timed out after twenty-five seconds with zero bytes;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 [C1070] [C1071] [C1072] [C1073] [C1074] [C1075] [C1076] [C1077] [C1078] [C1079] [C1080] [C1081] [C1082] [C1083] [C1084] [C1085] [C1086] [C1087] [C1088] [C1089] [C1090] [C1091] [C1092] [C1093] [C1094] [C1095] [C1096] [C1097] [C1098] [C1099] [C1100] [C1101] [C1102] [C1103] [C1104] [C1105] [C1106] [C1107] [C1108] [C1109] [C1110] [C1111] [C1112] [C1113] [C1114] [C1115] [C1116] [C1117] [C1118] [C1119] [C1120] [C1121] [C1122] [C1123] [C1124] [C1125] [C1126] [C1127]</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