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[C286] [C299] [S278]</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w:t>
      </w:r>
      <w:r>
        <w:t xml:space="preserve"> 1926 *Beattyville Enterprise* and *Yell County Journal* still unread. IA Solr 0; UK film years omit 1926; six `beatty` issues omit 1926. [C293] [C301]</w:t>
      </w:r>
    </w:p>
    <w:p>
      <w:pPr>
        <w:pStyle w:val="ListBullet"/>
      </w:pPr>
      <w:r>
        <w:rPr>
          <w:b/>
        </w:rPr>
        <w:t>B045 / B047:</w:t>
      </w:r>
      <w:r>
        <w:t xml:space="preserve"> Samuel P. probate film and M1509 draft cards unread.</w:t>
      </w:r>
    </w:p>
    <w:p>
      <w:pPr>
        <w:pStyle w:val="ListBullet"/>
      </w:pPr>
      <w:r>
        <w:rPr>
          <w:b/>
        </w:rPr>
        <w:t>FAN residual:</w:t>
      </w:r>
      <w:r>
        <w:t xml:space="preserve"> Luther Newnam’s own death (B051); Shelby × Grace identity (B052); Everett’s deceased brothers (B053); Carter Cove stone photographs (B054).</w:t>
      </w:r>
    </w:p>
    <w:p>
      <w:pPr>
        <w:pStyle w:val="ListBullet"/>
      </w:pPr>
      <w:r>
        <w:t xml:space="preserve">Greene 37–43 Stone sweep is </w:t>
      </w:r>
      <w:r>
        <w:rPr>
          <w:b/>
        </w:rPr>
        <w:t>closed</w:t>
      </w:r>
      <w:r>
        <w:t>. Do not reopen Peebles as a third marriage without a license. Do not print 1868 or 24 February 1906 as facts.</w:t>
      </w:r>
    </w:p>
    <w:p>
      <w:r>
        <w:t xml:space="preserve">The next session starts with </w:t>
      </w:r>
      <w:r>
        <w:rPr>
          <w:b/>
        </w:rPr>
        <w:t>B049</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(331 files after this pass).</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