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Two hundred six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Boyd County’s 1860–1920 clerk-microfilm marriage database has no Josephine Newnam × Gilbert license in 1902. Webster County’s January–December 1902 marriage books have no Josephine Newnam × Gilbert license. Elliott County’s surviving marriage books begin in 1934 after the December 1957 courthouse fire, so they cannot cover 1902. Muhlenberg County’s compiled 1895–1901 marriage book has no Josephine Newnam × Gilbert license (and no 1902 row). Muhlenberg County’s 1798–1965 white marriage index has no Josephine Newnam × Gilbert license in 1902. Hopkins County’s compiled 1869–1949 white marriage list has no Josephine Newnam × Gilbert license in 1902.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and a subsequent retry timed out after twenty-five seconds with zero bytes, and another subsequent retry timed out after twenty-five seconds with zero bytes, and a later retry again returned the Catalog SPA shell (5,454 bytes, not IIIF JSON), and another later retry again returned the Catalog SPA shell (5,454 bytes, not IIIF JSON);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 [C1107] [C1108] [C1109] [C1110] [C1111] [C1112] [C1113] [C1114] [C1115] [C1116] [C1117] [C1118] [C1119] [C1120] [C1121] [C1122] [C1123] [C1124] [C1125] [C1126] [C1127] [C1128] [C1129] [C1130] [C1131] [C1132] [C1133] [C1134] [C1135] [C1136] [C1137] [C1138] [C1139] [C1140] [C1141]</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