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27–28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Ten years earlier, on 7 June 1870, Elias and Mary were at Travellers Rest in Owsley County with William, Malissa, Frances and a one-year-old Mary. There was no Dora. That absence fits an 1871 birth.</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That does not prove he never married elsewhere, but it fixes his documentary role at the ceremony as neighbor or kin, not as a party. [C127] [S116] Two years later, at Marion Durbin’s on 2 January 1889, </w:t>
      </w:r>
      <w:r>
        <w:rPr>
          <w:b/>
        </w:rPr>
        <w:t>Jiles Mays</w:t>
      </w:r>
      <w:r>
        <w:t xml:space="preserve"> witnessed with </w:t>
      </w:r>
      <w:r>
        <w:rPr>
          <w:b/>
        </w:rPr>
        <w:t>Dilalrd Newnam</w:t>
      </w:r>
      <w:r>
        <w:t xml:space="preserve"> — the same Mays surname cluster around Sturgeon Creek, not proof that Jiles is Link. [C125] [S113] The 1900 Sturgeon transcript lists eleven separate </w:t>
      </w:r>
      <w:r>
        <w:rPr>
          <w:b/>
        </w:rPr>
        <w:t>Mays</w:t>
      </w:r>
      <w:r>
        <w:t xml:space="preserve"> households (Elizabeth as housekeeper; heads Eliza, William, James S., Renie, Isham, Rachel, David, Jackson, Henry, Dorothy) and </w:t>
      </w:r>
      <w:r>
        <w:rPr>
          <w:b/>
        </w:rPr>
        <w:t>no</w:t>
      </w:r>
      <w:r>
        <w:t xml:space="preserve"> given name </w:t>
      </w:r>
      <w:r>
        <w:rPr>
          <w:b/>
        </w:rPr>
        <w:t>Link</w:t>
      </w:r>
      <w:r>
        <w:t xml:space="preserve">. [S116] Patsey Pendergrass Farley’s 1937 obituary names a sister </w:t>
      </w:r>
      <w:r>
        <w:rPr>
          <w:b/>
        </w:rPr>
        <w:t>Mrs. Louisa Mays, Cressmont</w:t>
      </w:r>
      <w:r>
        <w:t xml:space="preserve"> in the same survivor list as stepson </w:t>
      </w:r>
      <w:r>
        <w:rPr>
          <w:b/>
        </w:rPr>
        <w:t>Robert Newnam, Pebworth</w:t>
      </w:r>
      <w:r>
        <w:t xml:space="preserve"> — a possible kin bridge to the Mays witnesses, not an identification of Link. [C130] [S101] The 1880 ED 59 originals read for this case (sheets 1–2 around John and Elias) have not yet shown a </w:t>
      </w:r>
      <w:r>
        <w:rPr>
          <w:b/>
        </w:rPr>
        <w:t>Mays</w:t>
      </w:r>
      <w:r>
        <w:t xml:space="preserve"> line adjacent to dwelling 3; remaining sheets are blocked on Internet Archive from this environment. [B014] [L136]</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Conflict #4 and #11: which Missouri Thomas Stone, if any, is the 1920 Perry County widower.</w:t>
      </w:r>
    </w:p>
    <w:p>
      <w:pPr>
        <w:pStyle w:val="ListBullet"/>
      </w:pPr>
      <w:r>
        <w:t>Conflict #13: whether the 1910 Sturgeon enumerator signed Elam Brandenburg or Elton E. Newnam.</w:t>
      </w:r>
    </w:p>
    <w:p>
      <w:pPr>
        <w:pStyle w:val="ListBullet"/>
      </w:pPr>
      <w:r>
        <w:t>John H.; Mary Bunch’s death; Rissie’s Tennessee identification; the two unnamed children.</w:t>
      </w:r>
    </w:p>
    <w:p>
      <w:r>
        <w:t>The next chat should treat this book and `06-dossier.md` as the combined master, then work the open list. Do not reopen Peebles as a third marriage without a license. Do not print 1868 or 24 February 1906 as facts.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