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Sixty-two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1870 Proctor original of James Brandenburg’s house, Silas Gray’s Sturgeon original,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chats still running on Greene ED 41–43,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a </w:t>
      </w:r>
      <w:r>
        <w:rPr>
          <w:b/>
        </w:rPr>
        <w:t>possible</w:t>
      </w:r>
      <w:r>
        <w:t xml:space="preserve"> father named on the 1928 extract; William is not in Silas’s house, so they are not merged. [C348] Hardin Gray, next door in 1900, is now </w:t>
      </w:r>
      <w:r>
        <w:rPr>
          <w:b/>
        </w:rPr>
        <w:t>probable</w:t>
      </w:r>
      <w:r>
        <w:t xml:space="preserve"> their son — the birth register names his father William — still not merged. [C333] Statewide Kentucky death index for 1925 has no Mary J. Gray and no Gray death in Lee County. [C380] The 1928 William and 1967 Hardin K. statewide rows are independently seen. [C381] [C379] On the original 1880 District 59 film, Elisha Gray, twenty-eight, lives with M. Jane, twenty-two, and Nancy, one; Caroline Gray, forty-four, of Virginia, lives with Barney. Neither house is William and Mary J. [C389] [C390]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probable</w:t>
      </w:r>
      <w:r>
        <w:t xml:space="preserve"> William’s son, not proved. [C349] [C356] [C382]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