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w:t>
      </w:r>
      <w:r>
        <w:rPr>
          <w:b/>
        </w:rPr>
        <w:t>Nurse</w:t>
      </w:r>
      <w:r>
        <w:t xml:space="preserve">) in </w:t>
      </w:r>
      <w:r>
        <w:rPr>
          <w:b/>
        </w:rPr>
        <w:t>Jesse Conrad</w:t>
      </w:r>
      <w:r>
        <w:t xml:space="preserve">’s house on Liberty </w:t>
      </w:r>
      <w:r>
        <w:rPr>
          <w:b/>
        </w:rPr>
        <w:t>ED 4</w:t>
      </w:r>
      <w:r>
        <w:t xml:space="preserve"> sheet </w:t>
      </w:r>
      <w:r>
        <w:rPr>
          <w:b/>
        </w:rPr>
        <w:t>3 A</w:t>
      </w:r>
      <w:r>
        <w:t xml:space="preserve"> (</w:t>
      </w:r>
      <w:r>
        <w:rPr>
          <w:b/>
        </w:rPr>
        <w:t>C244</w:t>
      </w:r>
      <w:r>
        <w:t xml:space="preserve">, </w:t>
      </w:r>
      <w:r>
        <w:rPr>
          <w:b/>
        </w:rPr>
        <w:t>C286</w:t>
      </w:r>
      <w:r>
        <w:t xml:space="preserve">). Pass 48’s “John Sullivan + Sarah Newman mother-in-law” household is a </w:t>
      </w:r>
      <w:r>
        <w:rPr>
          <w:b/>
        </w:rPr>
        <w:t>misread</w:t>
      </w:r>
      <w:r>
        <w:t xml:space="preserve"> and is withdrawn (</w:t>
      </w:r>
      <w:r>
        <w:rPr>
          <w:b/>
        </w:rPr>
        <w:t>C245</w:t>
      </w:r>
      <w:r>
        <w:t xml:space="preserve">, </w:t>
      </w:r>
      <w:r>
        <w:rPr>
          <w:b/>
        </w:rPr>
        <w:t>C284</w:t>
      </w:r>
      <w:r>
        <w:t xml:space="preserve">): that crop is sheet </w:t>
      </w:r>
      <w:r>
        <w:rPr>
          <w:b/>
        </w:rPr>
        <w:t>10 B</w:t>
      </w:r>
      <w:r>
        <w:t xml:space="preserve">, </w:t>
      </w:r>
      <w:r>
        <w:rPr>
          <w:b/>
        </w:rPr>
        <w:t>Estes, John</w:t>
      </w:r>
      <w:r>
        <w:t xml:space="preserve">, and the Newman on the page is </w:t>
      </w:r>
      <w:r>
        <w:rPr>
          <w:b/>
        </w:rPr>
        <w:t>Belle</w:t>
      </w:r>
      <w:r>
        <w:t xml:space="preserve">, a thirty-year-old Missouri widow, not Dora.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1910 Missouri and Arkansas </w:t>
      </w:r>
      <w:r>
        <w:rPr>
          <w:b/>
        </w:rPr>
        <w:t>S-350</w:t>
      </w:r>
      <w:r>
        <w:t xml:space="preserve"> D-windows have no Dora Stone of thirty-nine born Kentucky (</w:t>
      </w:r>
      <w:r>
        <w:rPr>
          <w:b/>
        </w:rPr>
        <w:t>C288</w:t>
      </w:r>
      <w:r>
        <w:t xml:space="preserve">, </w:t>
      </w:r>
      <w:r>
        <w:rPr>
          <w:b/>
        </w:rPr>
        <w:t>C289</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head. [C280] [C281] A Dora wife of Frank Carroll on sheet 4B, a Dora M. wife of Louis Michela on sheet 7B, and a fourteen-year-old Dora Bovine on sheet 10B are Springfield women, not her; Clifford Newman, age seven, is an inmate at the Children's Protestant Home. [C282] ED </w:t>
      </w:r>
      <w:r>
        <w:rPr>
          <w:b/>
        </w:rPr>
        <w:t>39</w:t>
      </w:r>
      <w:r>
        <w:t xml:space="preserve"> sheets 1–5 B-sides on reel 855 are likewise nil, so that enumeration district is complete on both reels. [C283] The Greene ED </w:t>
      </w:r>
      <w:r>
        <w:rPr>
          <w:b/>
        </w:rPr>
        <w:t>37–43</w:t>
      </w:r>
      <w:r>
        <w:t xml:space="preserve"> name-column sweep is finished.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