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r>
        <w:t>Do not print 1966 or 1976 as proven deaths. Do not print Floyd as Boyd. Do not print 1962 as McCoy’s death. Do not print the 1942 Combs charge as fact.</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1910 Heidelberg Boyd+Allie original; 1900 Boyd boarder original; Floyd 1910 Soundex nil. </w:t>
      </w:r>
      <w:r>
        <w:rPr>
          <w:b/>
        </w:rPr>
        <w:t>Done earlier:</w:t>
      </w:r>
      <w:r>
        <w:t xml:space="preserve">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Breathitt full-sheet residuals + John 38+Jennie original (ED </w:t>
      </w:r>
      <w:r>
        <w:rPr>
          <w:b/>
        </w:rPr>
        <w:t>52</w:t>
      </w:r>
      <w:r>
        <w:t xml:space="preserve"> has no sheet 19), Powell/Wolfe full-sheet residuals, </w:t>
      </w:r>
      <w:r>
        <w:rPr>
          <w:b/>
        </w:rPr>
        <w:t>B045</w:t>
      </w:r>
      <w:r>
        <w:t xml:space="preserve"> (FS </w:t>
      </w:r>
      <w:r>
        <w:rPr>
          <w:b/>
        </w:rPr>
        <w:t>127913 / 127891</w:t>
      </w:r>
      <w:r>
        <w:t xml:space="preserve">) and </w:t>
      </w:r>
      <w:r>
        <w:rPr>
          <w:b/>
        </w:rPr>
        <w:t>B061</w:t>
      </w:r>
      <w:r>
        <w:t xml:space="preserve"> (</w:t>
      </w:r>
      <w:r>
        <w:rPr>
          <w:b/>
        </w:rPr>
        <w:t>127869 / 964964</w:t>
      </w:r>
      <w:r>
        <w:t xml:space="preserve">), </w:t>
      </w:r>
      <w:r>
        <w:rPr>
          <w:b/>
        </w:rPr>
        <w:t>B089</w:t>
      </w:r>
      <w:r>
        <w:t xml:space="preserve"> residual Book 6 register + certs </w:t>
      </w:r>
      <w:r>
        <w:rPr>
          <w:b/>
        </w:rPr>
        <w:t>28501 / 31780</w:t>
      </w:r>
      <w:r>
        <w:t xml:space="preserve">,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