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  Kickathon si Kickoff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Participarea noastră la Kickathon a fost una dintre experiențele definitorii și emoționante pentru echipa noastră. Deși în echipă există membri cu experiențe anterioare în competițiile FIRST® Tech Challenge, Kickathon-ul a marcat începutul sezonului nostru inaugural împreună, sub numele de Space Otters.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Acceptând provocarea de a construi un robot în doar 16 ore, am reușit nu doar să ne apropiem de tot ceea ce înseamnă fenomentul FIRST România, dar am devenit o echipă, în adevăratul sens al cuvântului.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Obiectivul nostru principal este să învățăm, făcând excelență, iar acest eveniment a fost momentul perfect pentru a ne organiza eficient și a ne stabili direcția pentru atingerea obiectivelor noastre.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 Am fost conștienți de provocările care ne așteptau în lunile următoare și am realizat că Kickathon-ul ne-a oferit oportunitatea ideală de a ne pregăti și de a ne conecta ca echipă pentru a face față acestor provocări.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Fiind primul eveniment din acest sezon, echipa a avut șansa de a socializa cu alte echipe, construind legături și prietenii care s-au concretizat în organizarea ulterioară a unor evenimente menite să promoveze fenomenul FIRST® Tech Challenge.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