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before="0" w:line="288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rrmjcjiakinm" w:id="0"/>
      <w:bookmarkEnd w:id="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Deliverable I: Task to Post .PDF Deliverable I: Data Processing, Description, Validation and Profiling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xvr9eqn7kt5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https://www.kaggle.com/datasets/juledz/heart-attack-prediction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1vyw4dcfoly" w:id="2"/>
      <w:bookmarkEnd w:id="2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https://escholarship.org/content/qt6n98m5ck/qt6n98m5ck_noSplash_fc31320b5d7a89485160d91bfed7adaf.pdf?t=q78snk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https://towardsdatascience.com/heart-disease-uci-diagnosis-prediction-b1943ee835a7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Age: Numeric (e.g., 52)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Sex: Categorical (0: Female, 1: Male)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Chest Pain Type: Categorical (0: Typical Angina, 1: Atypical Angina, 2: Non-anginal Pain, 3: Asymptomatic)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Resting Blood Pressure: Numeric (e.g., 125)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Serum Cholesterol: Numeric in mg/dL (e.g., 212)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Fasting Blood Sugar: Categorical (0: &lt;= 120 mg/dL, 1: &gt; 120 mg/dL)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Resting Electrocardiographic Results: Categorical (0: Normal, 1: Abnormality, 2: Hypertrophy)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Maximum Heart Rate Achieved: Numeric (e.g., 168)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Exercise-Induced Angina: Categorical (0: No, 1: Yes)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Oldpeak (ST Depression): Numeric (e.g., 1.0)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Slope of Peak Exercise ST Segment: Categorical (0: Upsloping, 1: Flat, 2: Downsloping)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Number of Major Vessels Colored by Fluoroscopy: Numeric (0 to 3)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Thalassemia: Categorical (0: Normal, 1: Fixed Defect, 2: Reversible Defect)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Target: percentage of heart attack risk in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59o9atwg809p" w:id="3"/>
      <w:bookmarkEnd w:id="3"/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Outliers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0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0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0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Trestbps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30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16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0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Restecg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0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Thalach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4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0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Oldpeak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7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0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 (0-3)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87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0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= 0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0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uim9ils5tw9b" w:id="4"/>
      <w:bookmarkEnd w:id="4"/>
      <w:r w:rsidDel="00000000" w:rsidR="00000000" w:rsidRPr="00000000">
        <w:rPr>
          <w:rtl w:val="0"/>
        </w:rPr>
        <w:t xml:space="preserve">Individuals: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Nº fila: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juledz/heart-attack-prediction" TargetMode="External"/><Relationship Id="rId7" Type="http://schemas.openxmlformats.org/officeDocument/2006/relationships/hyperlink" Target="https://escholarship.org/content/qt6n98m5ck/qt6n98m5ck_noSplash_fc31320b5d7a89485160d91bfed7adaf.pdf?t=q78snk" TargetMode="External"/><Relationship Id="rId8" Type="http://schemas.openxmlformats.org/officeDocument/2006/relationships/hyperlink" Target="https://towardsdatascience.com/heart-disease-uci-diagnosis-prediction-b1943ee835a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