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AEF6" w14:textId="4E264589" w:rsidR="000F1241" w:rsidRPr="00684373" w:rsidRDefault="000F1241" w:rsidP="00684373">
      <w:pPr>
        <w:jc w:val="center"/>
        <w:rPr>
          <w:rFonts w:ascii="Times New Roman" w:hAnsi="Times New Roman" w:cs="Times New Roman"/>
          <w:sz w:val="32"/>
          <w:szCs w:val="32"/>
        </w:rPr>
      </w:pPr>
      <w:r w:rsidRPr="00684373">
        <w:rPr>
          <w:rFonts w:ascii="Times New Roman" w:hAnsi="Times New Roman" w:cs="Times New Roman"/>
          <w:sz w:val="32"/>
          <w:szCs w:val="32"/>
        </w:rPr>
        <w:t>Liste de questions issue</w:t>
      </w:r>
      <w:r w:rsidR="00E46FFE">
        <w:rPr>
          <w:rFonts w:ascii="Times New Roman" w:hAnsi="Times New Roman" w:cs="Times New Roman"/>
          <w:sz w:val="32"/>
          <w:szCs w:val="32"/>
        </w:rPr>
        <w:t>s</w:t>
      </w:r>
      <w:r w:rsidRPr="00684373">
        <w:rPr>
          <w:rFonts w:ascii="Times New Roman" w:hAnsi="Times New Roman" w:cs="Times New Roman"/>
          <w:sz w:val="32"/>
          <w:szCs w:val="32"/>
        </w:rPr>
        <w:t xml:space="preserve"> du traitement des dispositions du Code de la construction et de l’habitation ayant trait au calcul de l’aide personnelle au logement à adresser à la CAF</w:t>
      </w:r>
    </w:p>
    <w:p w14:paraId="4DFD1079" w14:textId="006DDF82" w:rsidR="000F1241" w:rsidRDefault="000F1241" w:rsidP="00FB4252">
      <w:pPr>
        <w:pBdr>
          <w:bottom w:val="single" w:sz="6" w:space="1" w:color="auto"/>
        </w:pBdr>
        <w:jc w:val="both"/>
        <w:rPr>
          <w:rFonts w:ascii="Times New Roman" w:hAnsi="Times New Roman" w:cs="Times New Roman"/>
          <w:sz w:val="24"/>
          <w:szCs w:val="24"/>
        </w:rPr>
      </w:pPr>
    </w:p>
    <w:p w14:paraId="4155C9F7" w14:textId="321167BC" w:rsidR="000F1241" w:rsidRDefault="000F1241" w:rsidP="00FB4252">
      <w:pPr>
        <w:jc w:val="both"/>
        <w:rPr>
          <w:rFonts w:ascii="Times New Roman" w:hAnsi="Times New Roman" w:cs="Times New Roman"/>
          <w:sz w:val="24"/>
          <w:szCs w:val="24"/>
        </w:rPr>
      </w:pPr>
    </w:p>
    <w:p w14:paraId="60C574BB" w14:textId="6AF3277C" w:rsidR="000F1241" w:rsidRPr="00480E6B" w:rsidRDefault="000F1241" w:rsidP="00FB4252">
      <w:pPr>
        <w:jc w:val="both"/>
        <w:rPr>
          <w:rFonts w:ascii="Times New Roman" w:hAnsi="Times New Roman" w:cs="Times New Roman"/>
          <w:b/>
          <w:bCs/>
          <w:sz w:val="24"/>
          <w:szCs w:val="24"/>
        </w:rPr>
      </w:pPr>
      <w:r w:rsidRPr="00480E6B">
        <w:rPr>
          <w:rFonts w:ascii="Times New Roman" w:hAnsi="Times New Roman" w:cs="Times New Roman"/>
          <w:b/>
          <w:bCs/>
          <w:sz w:val="24"/>
          <w:szCs w:val="24"/>
        </w:rPr>
        <w:t xml:space="preserve">Dans la partie législative du Code de la construction et de l’habitation : </w:t>
      </w:r>
    </w:p>
    <w:p w14:paraId="0D3E9E03" w14:textId="3640842D" w:rsidR="000F1241" w:rsidRDefault="000F1241" w:rsidP="00FB4252">
      <w:pPr>
        <w:jc w:val="both"/>
        <w:rPr>
          <w:rFonts w:ascii="Times New Roman" w:hAnsi="Times New Roman" w:cs="Times New Roman"/>
          <w:sz w:val="24"/>
          <w:szCs w:val="24"/>
        </w:rPr>
      </w:pPr>
    </w:p>
    <w:p w14:paraId="641B76D5" w14:textId="718F2226" w:rsidR="000F1241" w:rsidRPr="00507D0D" w:rsidRDefault="000F1241" w:rsidP="00FB4252">
      <w:pPr>
        <w:jc w:val="both"/>
        <w:rPr>
          <w:rFonts w:ascii="Times New Roman" w:hAnsi="Times New Roman" w:cs="Times New Roman"/>
          <w:sz w:val="24"/>
          <w:szCs w:val="24"/>
          <w:u w:val="single"/>
        </w:rPr>
      </w:pPr>
      <w:r w:rsidRPr="00507D0D">
        <w:rPr>
          <w:rFonts w:ascii="Times New Roman" w:hAnsi="Times New Roman" w:cs="Times New Roman"/>
          <w:sz w:val="24"/>
          <w:szCs w:val="24"/>
          <w:u w:val="single"/>
        </w:rPr>
        <w:t xml:space="preserve">Article L822-7 : </w:t>
      </w:r>
    </w:p>
    <w:p w14:paraId="1B1E0C62" w14:textId="6ACDD9C0" w:rsidR="000F1241" w:rsidRDefault="000F1241" w:rsidP="00FB4252">
      <w:pPr>
        <w:jc w:val="both"/>
        <w:rPr>
          <w:rFonts w:ascii="Times New Roman" w:hAnsi="Times New Roman" w:cs="Times New Roman"/>
          <w:sz w:val="24"/>
          <w:szCs w:val="24"/>
        </w:rPr>
      </w:pPr>
    </w:p>
    <w:p w14:paraId="762785E5" w14:textId="5B6D2F48" w:rsidR="000F1241" w:rsidRDefault="000F1241" w:rsidP="000F1241">
      <w:pPr>
        <w:jc w:val="both"/>
        <w:rPr>
          <w:rFonts w:ascii="Times New Roman" w:hAnsi="Times New Roman" w:cs="Times New Roman"/>
          <w:sz w:val="24"/>
          <w:szCs w:val="24"/>
        </w:rPr>
      </w:pPr>
      <w:r>
        <w:rPr>
          <w:rFonts w:ascii="Times New Roman" w:hAnsi="Times New Roman" w:cs="Times New Roman"/>
          <w:sz w:val="24"/>
          <w:szCs w:val="24"/>
        </w:rPr>
        <w:t>« </w:t>
      </w:r>
      <w:r w:rsidRPr="00507D0D">
        <w:rPr>
          <w:rFonts w:ascii="Times New Roman" w:hAnsi="Times New Roman" w:cs="Times New Roman"/>
          <w:i/>
          <w:iCs/>
          <w:sz w:val="24"/>
          <w:szCs w:val="24"/>
        </w:rPr>
        <w:t>La prise en compte des ressources peut relever de dispositions spécifiques, lorsque le demandeur est âgé de moins de vingt-cinq ans et qu'il dispose d'un contrat de travail autre qu'un contrat à durée indéterminée.</w:t>
      </w:r>
      <w:r>
        <w:rPr>
          <w:rFonts w:ascii="Times New Roman" w:hAnsi="Times New Roman" w:cs="Times New Roman"/>
          <w:sz w:val="24"/>
          <w:szCs w:val="24"/>
        </w:rPr>
        <w:t> »</w:t>
      </w:r>
    </w:p>
    <w:p w14:paraId="06BBD439" w14:textId="6EC933DE" w:rsidR="000F1241" w:rsidRDefault="000F1241" w:rsidP="000F1241">
      <w:pPr>
        <w:jc w:val="both"/>
        <w:rPr>
          <w:rFonts w:ascii="Times New Roman" w:hAnsi="Times New Roman" w:cs="Times New Roman"/>
          <w:sz w:val="24"/>
          <w:szCs w:val="24"/>
        </w:rPr>
      </w:pPr>
    </w:p>
    <w:p w14:paraId="37D7CF73" w14:textId="0F44BBA2" w:rsidR="000F1241" w:rsidRDefault="000F1241" w:rsidP="000F1241">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Quid de l’hypothèse où le demandeur répond à ces caractéristiques d’une part mais est considéré d’autre part comme inclus dans le ménage de ses parents</w:t>
      </w:r>
      <w:r w:rsidR="00507D0D">
        <w:rPr>
          <w:rFonts w:ascii="Times New Roman" w:hAnsi="Times New Roman" w:cs="Times New Roman"/>
          <w:sz w:val="24"/>
          <w:szCs w:val="24"/>
        </w:rPr>
        <w:t xml:space="preserve"> ? </w:t>
      </w:r>
      <w:r>
        <w:rPr>
          <w:rFonts w:ascii="Times New Roman" w:hAnsi="Times New Roman" w:cs="Times New Roman"/>
          <w:sz w:val="24"/>
          <w:szCs w:val="24"/>
        </w:rPr>
        <w:t xml:space="preserve"> </w:t>
      </w:r>
    </w:p>
    <w:p w14:paraId="5ADEE894" w14:textId="348D59FC" w:rsidR="00507D0D" w:rsidRDefault="00507D0D" w:rsidP="000F1241">
      <w:pPr>
        <w:jc w:val="both"/>
        <w:rPr>
          <w:rFonts w:ascii="Times New Roman" w:hAnsi="Times New Roman" w:cs="Times New Roman"/>
          <w:sz w:val="24"/>
          <w:szCs w:val="24"/>
        </w:rPr>
      </w:pPr>
    </w:p>
    <w:p w14:paraId="2DC1DD08" w14:textId="7563E5A1" w:rsidR="00507D0D" w:rsidRPr="00507D0D" w:rsidRDefault="00507D0D" w:rsidP="000F1241">
      <w:pPr>
        <w:jc w:val="both"/>
        <w:rPr>
          <w:rFonts w:ascii="Times New Roman" w:hAnsi="Times New Roman" w:cs="Times New Roman"/>
          <w:sz w:val="24"/>
          <w:szCs w:val="24"/>
          <w:u w:val="single"/>
        </w:rPr>
      </w:pPr>
      <w:r w:rsidRPr="00507D0D">
        <w:rPr>
          <w:rFonts w:ascii="Times New Roman" w:hAnsi="Times New Roman" w:cs="Times New Roman"/>
          <w:sz w:val="24"/>
          <w:szCs w:val="24"/>
          <w:u w:val="single"/>
        </w:rPr>
        <w:t>Article L822-8 :</w:t>
      </w:r>
    </w:p>
    <w:p w14:paraId="146D4EB2" w14:textId="4070CA39" w:rsidR="00507D0D" w:rsidRDefault="00507D0D" w:rsidP="000F1241">
      <w:pPr>
        <w:jc w:val="both"/>
        <w:rPr>
          <w:rFonts w:ascii="Times New Roman" w:hAnsi="Times New Roman" w:cs="Times New Roman"/>
          <w:sz w:val="24"/>
          <w:szCs w:val="24"/>
        </w:rPr>
      </w:pPr>
    </w:p>
    <w:p w14:paraId="565743DE" w14:textId="722E697A" w:rsidR="00507D0D" w:rsidRPr="00507D0D" w:rsidRDefault="00507D0D" w:rsidP="00507D0D">
      <w:pPr>
        <w:jc w:val="both"/>
        <w:rPr>
          <w:rFonts w:ascii="Times New Roman" w:hAnsi="Times New Roman" w:cs="Times New Roman"/>
          <w:sz w:val="24"/>
          <w:szCs w:val="24"/>
        </w:rPr>
      </w:pPr>
      <w:r>
        <w:rPr>
          <w:rFonts w:ascii="Times New Roman" w:hAnsi="Times New Roman" w:cs="Times New Roman"/>
          <w:sz w:val="24"/>
          <w:szCs w:val="24"/>
        </w:rPr>
        <w:t>« </w:t>
      </w:r>
      <w:r w:rsidRPr="00507D0D">
        <w:rPr>
          <w:rFonts w:ascii="Times New Roman" w:hAnsi="Times New Roman" w:cs="Times New Roman"/>
          <w:i/>
          <w:iCs/>
          <w:sz w:val="24"/>
          <w:szCs w:val="24"/>
        </w:rPr>
        <w:t>Les personnes rattachées au foyer fiscal de leurs parents, lorsque ces derniers sont assujettis à l'impôt sur la fortune immobilière en application de l'article 964 du code général des impôts, ne peuvent bénéficier d'aucune aide personnelle au logement. Cette condition est appréciée pour chacun des membres du ménage.</w:t>
      </w:r>
      <w:r>
        <w:rPr>
          <w:rFonts w:ascii="Times New Roman" w:hAnsi="Times New Roman" w:cs="Times New Roman"/>
          <w:sz w:val="24"/>
          <w:szCs w:val="24"/>
        </w:rPr>
        <w:t> »</w:t>
      </w:r>
    </w:p>
    <w:p w14:paraId="6CD37FC0" w14:textId="77777777" w:rsidR="00507D0D" w:rsidRPr="00507D0D" w:rsidRDefault="00507D0D" w:rsidP="00507D0D">
      <w:pPr>
        <w:jc w:val="both"/>
        <w:rPr>
          <w:rFonts w:ascii="Times New Roman" w:hAnsi="Times New Roman" w:cs="Times New Roman"/>
          <w:sz w:val="24"/>
          <w:szCs w:val="24"/>
        </w:rPr>
      </w:pPr>
    </w:p>
    <w:p w14:paraId="420AB217" w14:textId="7B92CB3F" w:rsidR="00507D0D" w:rsidRDefault="00507D0D" w:rsidP="00507D0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La</w:t>
      </w:r>
      <w:r w:rsidRPr="00507D0D">
        <w:rPr>
          <w:rFonts w:ascii="Times New Roman" w:hAnsi="Times New Roman" w:cs="Times New Roman"/>
          <w:sz w:val="24"/>
          <w:szCs w:val="24"/>
        </w:rPr>
        <w:t xml:space="preserve"> condition, si elle est vérifiée par un membre du ménage enlève-t-elle le droit </w:t>
      </w:r>
      <w:r>
        <w:rPr>
          <w:rFonts w:ascii="Times New Roman" w:hAnsi="Times New Roman" w:cs="Times New Roman"/>
          <w:sz w:val="24"/>
          <w:szCs w:val="24"/>
        </w:rPr>
        <w:t xml:space="preserve">à l’aide personnelle au logement </w:t>
      </w:r>
      <w:r w:rsidRPr="00507D0D">
        <w:rPr>
          <w:rFonts w:ascii="Times New Roman" w:hAnsi="Times New Roman" w:cs="Times New Roman"/>
          <w:sz w:val="24"/>
          <w:szCs w:val="24"/>
        </w:rPr>
        <w:t>pour l'ensemble des membres du ménage ?</w:t>
      </w:r>
    </w:p>
    <w:p w14:paraId="498C1D48" w14:textId="1F4C347E" w:rsidR="00507D0D" w:rsidRDefault="00507D0D" w:rsidP="00507D0D">
      <w:pPr>
        <w:jc w:val="both"/>
        <w:rPr>
          <w:rFonts w:ascii="Times New Roman" w:hAnsi="Times New Roman" w:cs="Times New Roman"/>
          <w:sz w:val="24"/>
          <w:szCs w:val="24"/>
        </w:rPr>
      </w:pPr>
    </w:p>
    <w:p w14:paraId="49867760" w14:textId="5449C9B8" w:rsidR="00507D0D" w:rsidRDefault="00507D0D" w:rsidP="00507D0D">
      <w:pPr>
        <w:jc w:val="both"/>
        <w:rPr>
          <w:rFonts w:ascii="Times New Roman" w:hAnsi="Times New Roman" w:cs="Times New Roman"/>
          <w:sz w:val="24"/>
          <w:szCs w:val="24"/>
        </w:rPr>
      </w:pPr>
      <w:r>
        <w:rPr>
          <w:rFonts w:ascii="Times New Roman" w:hAnsi="Times New Roman" w:cs="Times New Roman"/>
          <w:sz w:val="24"/>
          <w:szCs w:val="24"/>
          <w:u w:val="single"/>
        </w:rPr>
        <w:t>Article L831-1 :</w:t>
      </w:r>
      <w:r>
        <w:rPr>
          <w:rFonts w:ascii="Times New Roman" w:hAnsi="Times New Roman" w:cs="Times New Roman"/>
          <w:sz w:val="24"/>
          <w:szCs w:val="24"/>
        </w:rPr>
        <w:t xml:space="preserve"> </w:t>
      </w:r>
    </w:p>
    <w:p w14:paraId="2DCC7C40" w14:textId="18C7717A" w:rsidR="00507D0D" w:rsidRDefault="00507D0D" w:rsidP="00507D0D">
      <w:pPr>
        <w:jc w:val="both"/>
        <w:rPr>
          <w:rFonts w:ascii="Times New Roman" w:hAnsi="Times New Roman" w:cs="Times New Roman"/>
          <w:sz w:val="24"/>
          <w:szCs w:val="24"/>
        </w:rPr>
      </w:pPr>
    </w:p>
    <w:p w14:paraId="19DE1CB1" w14:textId="41C0F643" w:rsidR="00507D0D" w:rsidRPr="00507D0D" w:rsidRDefault="00507D0D" w:rsidP="00507D0D">
      <w:pPr>
        <w:jc w:val="both"/>
        <w:rPr>
          <w:rFonts w:ascii="Times New Roman" w:hAnsi="Times New Roman" w:cs="Times New Roman"/>
          <w:i/>
          <w:iCs/>
          <w:sz w:val="24"/>
          <w:szCs w:val="24"/>
        </w:rPr>
      </w:pPr>
      <w:r>
        <w:rPr>
          <w:rFonts w:ascii="Times New Roman" w:hAnsi="Times New Roman" w:cs="Times New Roman"/>
          <w:sz w:val="24"/>
          <w:szCs w:val="24"/>
        </w:rPr>
        <w:t>« </w:t>
      </w:r>
      <w:r w:rsidRPr="00507D0D">
        <w:rPr>
          <w:rFonts w:ascii="Times New Roman" w:hAnsi="Times New Roman" w:cs="Times New Roman"/>
          <w:i/>
          <w:iCs/>
          <w:sz w:val="24"/>
          <w:szCs w:val="24"/>
        </w:rPr>
        <w:t>L'aide personnalisée au logement s'applique aux :</w:t>
      </w:r>
    </w:p>
    <w:p w14:paraId="36592113" w14:textId="4DDA3D26" w:rsidR="00507D0D" w:rsidRPr="00507D0D" w:rsidRDefault="00507D0D" w:rsidP="00507D0D">
      <w:pPr>
        <w:jc w:val="both"/>
        <w:rPr>
          <w:rFonts w:ascii="Times New Roman" w:hAnsi="Times New Roman" w:cs="Times New Roman"/>
          <w:i/>
          <w:iCs/>
          <w:sz w:val="24"/>
          <w:szCs w:val="24"/>
        </w:rPr>
      </w:pPr>
      <w:r w:rsidRPr="00507D0D">
        <w:rPr>
          <w:rFonts w:ascii="Times New Roman" w:hAnsi="Times New Roman" w:cs="Times New Roman"/>
          <w:i/>
          <w:iCs/>
          <w:sz w:val="24"/>
          <w:szCs w:val="24"/>
        </w:rPr>
        <w:t>1° Logements occupés par leurs propriétaires, construits, (acquis ou améliorés au moyen d'aides de l'Etat) ou de prêts dont les caractéristiques et les conditions d'octroi sont fixées par voie réglementaire, sous les réserves énoncées à l'article L. 831-2 ;</w:t>
      </w:r>
    </w:p>
    <w:p w14:paraId="5E054C1C" w14:textId="77777777" w:rsidR="00B143FA" w:rsidRDefault="00507D0D" w:rsidP="00507D0D">
      <w:pPr>
        <w:jc w:val="both"/>
        <w:rPr>
          <w:rFonts w:ascii="Times New Roman" w:hAnsi="Times New Roman" w:cs="Times New Roman"/>
          <w:sz w:val="24"/>
          <w:szCs w:val="24"/>
        </w:rPr>
      </w:pPr>
      <w:r>
        <w:rPr>
          <w:rFonts w:ascii="Times New Roman" w:hAnsi="Times New Roman" w:cs="Times New Roman"/>
          <w:sz w:val="24"/>
          <w:szCs w:val="24"/>
        </w:rPr>
        <w:t>[...]</w:t>
      </w:r>
    </w:p>
    <w:p w14:paraId="4868C9A0" w14:textId="57E0839F" w:rsidR="00507D0D" w:rsidRPr="00B143FA" w:rsidRDefault="00B143FA" w:rsidP="00507D0D">
      <w:pPr>
        <w:jc w:val="both"/>
        <w:rPr>
          <w:rFonts w:ascii="Times New Roman" w:hAnsi="Times New Roman" w:cs="Times New Roman"/>
          <w:i/>
          <w:iCs/>
          <w:sz w:val="24"/>
          <w:szCs w:val="24"/>
        </w:rPr>
      </w:pPr>
      <w:r w:rsidRPr="00B143FA">
        <w:rPr>
          <w:rFonts w:ascii="Times New Roman" w:hAnsi="Times New Roman" w:cs="Times New Roman"/>
          <w:i/>
          <w:iCs/>
          <w:sz w:val="24"/>
          <w:szCs w:val="24"/>
        </w:rPr>
        <w:t>6° Logements occupés par des titulaires de contrats de location-accession</w:t>
      </w:r>
      <w:r>
        <w:rPr>
          <w:rFonts w:ascii="Times New Roman" w:hAnsi="Times New Roman" w:cs="Times New Roman"/>
          <w:i/>
          <w:iCs/>
          <w:sz w:val="24"/>
          <w:szCs w:val="24"/>
        </w:rPr>
        <w:t xml:space="preserve"> </w:t>
      </w:r>
      <w:r w:rsidRPr="00B143FA">
        <w:rPr>
          <w:rFonts w:ascii="Times New Roman" w:hAnsi="Times New Roman" w:cs="Times New Roman"/>
          <w:i/>
          <w:iCs/>
          <w:sz w:val="24"/>
          <w:szCs w:val="24"/>
        </w:rPr>
        <w:t>conclus dans les conditions prévues par la loi n° 84-595 du 12 juillet 1984</w:t>
      </w:r>
      <w:r>
        <w:rPr>
          <w:rFonts w:ascii="Times New Roman" w:hAnsi="Times New Roman" w:cs="Times New Roman"/>
          <w:i/>
          <w:iCs/>
          <w:sz w:val="24"/>
          <w:szCs w:val="24"/>
        </w:rPr>
        <w:t xml:space="preserve"> </w:t>
      </w:r>
      <w:r w:rsidRPr="00B143FA">
        <w:rPr>
          <w:rFonts w:ascii="Times New Roman" w:hAnsi="Times New Roman" w:cs="Times New Roman"/>
          <w:i/>
          <w:iCs/>
          <w:sz w:val="24"/>
          <w:szCs w:val="24"/>
        </w:rPr>
        <w:t>définissant la location-accession à la propriété immobilière, lorsque ces</w:t>
      </w:r>
      <w:r>
        <w:rPr>
          <w:rFonts w:ascii="Times New Roman" w:hAnsi="Times New Roman" w:cs="Times New Roman"/>
          <w:i/>
          <w:iCs/>
          <w:sz w:val="24"/>
          <w:szCs w:val="24"/>
        </w:rPr>
        <w:t xml:space="preserve"> </w:t>
      </w:r>
      <w:r w:rsidRPr="00B143FA">
        <w:rPr>
          <w:rFonts w:ascii="Times New Roman" w:hAnsi="Times New Roman" w:cs="Times New Roman"/>
          <w:i/>
          <w:iCs/>
          <w:sz w:val="24"/>
          <w:szCs w:val="24"/>
        </w:rPr>
        <w:t>logements ont été construits, améliorés ou acquis et améliorés au moyen d'aides</w:t>
      </w:r>
      <w:r>
        <w:rPr>
          <w:rFonts w:ascii="Times New Roman" w:hAnsi="Times New Roman" w:cs="Times New Roman"/>
          <w:i/>
          <w:iCs/>
          <w:sz w:val="24"/>
          <w:szCs w:val="24"/>
        </w:rPr>
        <w:t xml:space="preserve"> </w:t>
      </w:r>
      <w:r w:rsidRPr="00B143FA">
        <w:rPr>
          <w:rFonts w:ascii="Times New Roman" w:hAnsi="Times New Roman" w:cs="Times New Roman"/>
          <w:i/>
          <w:iCs/>
          <w:sz w:val="24"/>
          <w:szCs w:val="24"/>
        </w:rPr>
        <w:t>de l'Etat ou de prêts dont les caractéristiques et les conditions d'octroi sont</w:t>
      </w:r>
      <w:r>
        <w:rPr>
          <w:rFonts w:ascii="Times New Roman" w:hAnsi="Times New Roman" w:cs="Times New Roman"/>
          <w:i/>
          <w:iCs/>
          <w:sz w:val="24"/>
          <w:szCs w:val="24"/>
        </w:rPr>
        <w:t xml:space="preserve"> </w:t>
      </w:r>
      <w:r w:rsidRPr="00B143FA">
        <w:rPr>
          <w:rFonts w:ascii="Times New Roman" w:hAnsi="Times New Roman" w:cs="Times New Roman"/>
          <w:i/>
          <w:iCs/>
          <w:sz w:val="24"/>
          <w:szCs w:val="24"/>
        </w:rPr>
        <w:t>fixées par voie réglementaire, sous les réserves énoncées à l ‘ article L. 831-2.</w:t>
      </w:r>
      <w:r w:rsidR="00507D0D">
        <w:rPr>
          <w:rFonts w:ascii="Times New Roman" w:hAnsi="Times New Roman" w:cs="Times New Roman"/>
          <w:sz w:val="24"/>
          <w:szCs w:val="24"/>
        </w:rPr>
        <w:t> »</w:t>
      </w:r>
    </w:p>
    <w:p w14:paraId="59E2BF78" w14:textId="6AD8417F" w:rsidR="00507D0D" w:rsidRDefault="00507D0D" w:rsidP="00507D0D">
      <w:pPr>
        <w:jc w:val="both"/>
        <w:rPr>
          <w:rFonts w:ascii="Times New Roman" w:hAnsi="Times New Roman" w:cs="Times New Roman"/>
          <w:sz w:val="24"/>
          <w:szCs w:val="24"/>
        </w:rPr>
      </w:pPr>
    </w:p>
    <w:p w14:paraId="05559C5A" w14:textId="70EBD51A" w:rsidR="00507D0D" w:rsidRDefault="00507D0D" w:rsidP="00507D0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Les conditions d’octroi pour le prêt mentionnées dans cet article correspondent-elles aux conditions énumérées aux articles D331-1 et suivants du même code ? </w:t>
      </w:r>
      <w:r w:rsidR="0000656D">
        <w:rPr>
          <w:rFonts w:ascii="Times New Roman" w:hAnsi="Times New Roman" w:cs="Times New Roman"/>
          <w:sz w:val="24"/>
          <w:szCs w:val="24"/>
        </w:rPr>
        <w:t xml:space="preserve">Les prêts auxquels il est fait référence sont-ils ceux évoqués à </w:t>
      </w:r>
      <w:r w:rsidR="0000656D" w:rsidRPr="00F74EA2">
        <w:rPr>
          <w:rFonts w:ascii="Times New Roman" w:hAnsi="Times New Roman" w:cs="Times New Roman"/>
          <w:sz w:val="24"/>
          <w:szCs w:val="24"/>
          <w:u w:val="single"/>
        </w:rPr>
        <w:t>l’article R832-5 du même code</w:t>
      </w:r>
      <w:r w:rsidR="0000656D">
        <w:rPr>
          <w:rFonts w:ascii="Times New Roman" w:hAnsi="Times New Roman" w:cs="Times New Roman"/>
          <w:sz w:val="24"/>
          <w:szCs w:val="24"/>
        </w:rPr>
        <w:t xml:space="preserve"> ? </w:t>
      </w:r>
    </w:p>
    <w:p w14:paraId="14E26FBC" w14:textId="33DB0E33" w:rsidR="00507D0D" w:rsidRDefault="00507D0D" w:rsidP="00507D0D">
      <w:pPr>
        <w:jc w:val="both"/>
        <w:rPr>
          <w:rFonts w:ascii="Times New Roman" w:hAnsi="Times New Roman" w:cs="Times New Roman"/>
          <w:sz w:val="24"/>
          <w:szCs w:val="24"/>
        </w:rPr>
      </w:pPr>
    </w:p>
    <w:p w14:paraId="75BC9AF5" w14:textId="4CC9FEC8" w:rsidR="003828AD" w:rsidRDefault="003828AD" w:rsidP="00507D0D">
      <w:pPr>
        <w:jc w:val="both"/>
        <w:rPr>
          <w:rFonts w:ascii="Times New Roman" w:hAnsi="Times New Roman" w:cs="Times New Roman"/>
          <w:sz w:val="24"/>
          <w:szCs w:val="24"/>
        </w:rPr>
      </w:pPr>
      <w:r>
        <w:rPr>
          <w:rFonts w:ascii="Times New Roman" w:hAnsi="Times New Roman" w:cs="Times New Roman"/>
          <w:sz w:val="24"/>
          <w:szCs w:val="24"/>
          <w:u w:val="single"/>
        </w:rPr>
        <w:t>Article L831-2 :</w:t>
      </w:r>
      <w:r>
        <w:rPr>
          <w:rFonts w:ascii="Times New Roman" w:hAnsi="Times New Roman" w:cs="Times New Roman"/>
          <w:sz w:val="24"/>
          <w:szCs w:val="24"/>
        </w:rPr>
        <w:t xml:space="preserve"> </w:t>
      </w:r>
    </w:p>
    <w:p w14:paraId="7C4021A2" w14:textId="43574208" w:rsidR="003828AD" w:rsidRDefault="003828AD" w:rsidP="00507D0D">
      <w:pPr>
        <w:jc w:val="both"/>
        <w:rPr>
          <w:rFonts w:ascii="Times New Roman" w:hAnsi="Times New Roman" w:cs="Times New Roman"/>
          <w:sz w:val="24"/>
          <w:szCs w:val="24"/>
        </w:rPr>
      </w:pPr>
    </w:p>
    <w:p w14:paraId="039E68BE" w14:textId="77777777" w:rsidR="003828AD" w:rsidRPr="003828AD" w:rsidRDefault="003828AD" w:rsidP="003828AD">
      <w:pPr>
        <w:jc w:val="both"/>
        <w:rPr>
          <w:rFonts w:ascii="Times New Roman" w:hAnsi="Times New Roman" w:cs="Times New Roman"/>
          <w:i/>
          <w:iCs/>
          <w:sz w:val="24"/>
          <w:szCs w:val="24"/>
        </w:rPr>
      </w:pPr>
      <w:r>
        <w:rPr>
          <w:rFonts w:ascii="Times New Roman" w:hAnsi="Times New Roman" w:cs="Times New Roman"/>
          <w:sz w:val="24"/>
          <w:szCs w:val="24"/>
        </w:rPr>
        <w:t>« </w:t>
      </w:r>
      <w:r w:rsidRPr="003828AD">
        <w:rPr>
          <w:rFonts w:ascii="Times New Roman" w:hAnsi="Times New Roman" w:cs="Times New Roman"/>
          <w:i/>
          <w:iCs/>
          <w:sz w:val="24"/>
          <w:szCs w:val="24"/>
        </w:rPr>
        <w:t xml:space="preserve">Les logements qui ont fait l'objet d'un prêt ou d'un contrat de location-accession mentionné au 1° ou au 6° de l'article L. 831-1 signé après le 31 décembre 2017 </w:t>
      </w:r>
      <w:r w:rsidRPr="003828AD">
        <w:rPr>
          <w:rFonts w:ascii="Times New Roman" w:hAnsi="Times New Roman" w:cs="Times New Roman"/>
          <w:b/>
          <w:bCs/>
          <w:i/>
          <w:iCs/>
          <w:sz w:val="24"/>
          <w:szCs w:val="24"/>
        </w:rPr>
        <w:t>n'ouvrent pas droit à l'aide personnalisée au logement</w:t>
      </w:r>
      <w:r w:rsidRPr="003828AD">
        <w:rPr>
          <w:rFonts w:ascii="Times New Roman" w:hAnsi="Times New Roman" w:cs="Times New Roman"/>
          <w:i/>
          <w:iCs/>
          <w:sz w:val="24"/>
          <w:szCs w:val="24"/>
        </w:rPr>
        <w:t>.</w:t>
      </w:r>
    </w:p>
    <w:p w14:paraId="6F24FCF7" w14:textId="77777777" w:rsidR="003828AD" w:rsidRPr="003828AD" w:rsidRDefault="003828AD" w:rsidP="003828AD">
      <w:pPr>
        <w:jc w:val="both"/>
        <w:rPr>
          <w:rFonts w:ascii="Times New Roman" w:hAnsi="Times New Roman" w:cs="Times New Roman"/>
          <w:i/>
          <w:iCs/>
          <w:sz w:val="24"/>
          <w:szCs w:val="24"/>
        </w:rPr>
      </w:pPr>
      <w:r w:rsidRPr="003828AD">
        <w:rPr>
          <w:rFonts w:ascii="Times New Roman" w:hAnsi="Times New Roman" w:cs="Times New Roman"/>
          <w:i/>
          <w:iCs/>
          <w:sz w:val="24"/>
          <w:szCs w:val="24"/>
        </w:rPr>
        <w:lastRenderedPageBreak/>
        <w:t>Toutefois, continuent à ouvrir droit à l'aide les logements ayant fait l'objet des mêmes prêt ou contrat de location-accession signés avant le 1er janvier 2020, dès lors qu'ils répondent à la double condition d'être anciens et situés dans une commune ne se caractérisant pas par un déséquilibre important entre l'offre et la demande de logements entraînant des difficultés d'accès au logement dans le parc résidentiel existant.</w:t>
      </w:r>
    </w:p>
    <w:p w14:paraId="058D0241" w14:textId="7BD971E5" w:rsidR="003828AD" w:rsidRDefault="003828AD" w:rsidP="003828AD">
      <w:pPr>
        <w:jc w:val="both"/>
        <w:rPr>
          <w:rFonts w:ascii="Times New Roman" w:hAnsi="Times New Roman" w:cs="Times New Roman"/>
          <w:sz w:val="24"/>
          <w:szCs w:val="24"/>
        </w:rPr>
      </w:pPr>
      <w:r w:rsidRPr="003828AD">
        <w:rPr>
          <w:rFonts w:ascii="Times New Roman" w:hAnsi="Times New Roman" w:cs="Times New Roman"/>
          <w:i/>
          <w:iCs/>
          <w:sz w:val="24"/>
          <w:szCs w:val="24"/>
        </w:rPr>
        <w:t>Un arrêté des ministres chargés du logement et du budget dresse la liste des communes répondant aux conditions énoncées au deuxième alinéa. </w:t>
      </w:r>
      <w:r>
        <w:rPr>
          <w:rFonts w:ascii="Times New Roman" w:hAnsi="Times New Roman" w:cs="Times New Roman"/>
          <w:sz w:val="24"/>
          <w:szCs w:val="24"/>
        </w:rPr>
        <w:t>»</w:t>
      </w:r>
    </w:p>
    <w:p w14:paraId="5FF34BA9" w14:textId="13AA7AC6" w:rsidR="003828AD" w:rsidRDefault="003828AD" w:rsidP="003828AD">
      <w:pPr>
        <w:jc w:val="both"/>
        <w:rPr>
          <w:rFonts w:ascii="Times New Roman" w:hAnsi="Times New Roman" w:cs="Times New Roman"/>
          <w:sz w:val="24"/>
          <w:szCs w:val="24"/>
        </w:rPr>
      </w:pPr>
    </w:p>
    <w:p w14:paraId="0E34B262" w14:textId="54ABAAB1" w:rsidR="003828AD" w:rsidRDefault="003828AD"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En conséquence, quels types de prêts ouvrent droit aux aides personnelles au logement et sous quelles conditions ? Un demandeur qui accède à la propriété peut-il bénéficier de cette aide ? </w:t>
      </w:r>
    </w:p>
    <w:p w14:paraId="58C029A2" w14:textId="5F0A03D1" w:rsidR="007A6BCD" w:rsidRDefault="007A6BCD" w:rsidP="003828AD">
      <w:pPr>
        <w:jc w:val="both"/>
        <w:rPr>
          <w:rFonts w:ascii="Times New Roman" w:hAnsi="Times New Roman" w:cs="Times New Roman"/>
          <w:sz w:val="24"/>
          <w:szCs w:val="24"/>
        </w:rPr>
      </w:pPr>
    </w:p>
    <w:p w14:paraId="1E414C35" w14:textId="7E939168" w:rsidR="007A6BCD" w:rsidRPr="007A6BCD" w:rsidRDefault="007A6BCD" w:rsidP="003828AD">
      <w:pPr>
        <w:jc w:val="both"/>
        <w:rPr>
          <w:rFonts w:ascii="Times New Roman" w:hAnsi="Times New Roman" w:cs="Times New Roman"/>
          <w:sz w:val="24"/>
          <w:szCs w:val="24"/>
          <w:u w:val="single"/>
        </w:rPr>
      </w:pPr>
      <w:r w:rsidRPr="007A6BCD">
        <w:rPr>
          <w:rFonts w:ascii="Times New Roman" w:hAnsi="Times New Roman" w:cs="Times New Roman"/>
          <w:sz w:val="24"/>
          <w:szCs w:val="24"/>
          <w:u w:val="single"/>
        </w:rPr>
        <w:t xml:space="preserve">Article L841-1 : </w:t>
      </w:r>
    </w:p>
    <w:p w14:paraId="7E3E45FA" w14:textId="11957EF5" w:rsidR="007A6BCD" w:rsidRDefault="007A6BCD" w:rsidP="003828AD">
      <w:pPr>
        <w:jc w:val="both"/>
        <w:rPr>
          <w:rFonts w:ascii="Times New Roman" w:hAnsi="Times New Roman" w:cs="Times New Roman"/>
          <w:sz w:val="24"/>
          <w:szCs w:val="24"/>
        </w:rPr>
      </w:pPr>
    </w:p>
    <w:p w14:paraId="7DDA4132" w14:textId="77777777" w:rsidR="00AA6DC9" w:rsidRPr="00AA6DC9" w:rsidRDefault="00AA6DC9" w:rsidP="00AA6DC9">
      <w:pPr>
        <w:jc w:val="both"/>
        <w:rPr>
          <w:rFonts w:ascii="Times New Roman" w:hAnsi="Times New Roman" w:cs="Times New Roman"/>
          <w:i/>
          <w:iCs/>
          <w:sz w:val="24"/>
          <w:szCs w:val="24"/>
        </w:rPr>
      </w:pPr>
      <w:r>
        <w:rPr>
          <w:rFonts w:ascii="Times New Roman" w:hAnsi="Times New Roman" w:cs="Times New Roman"/>
          <w:sz w:val="24"/>
          <w:szCs w:val="24"/>
        </w:rPr>
        <w:t>« </w:t>
      </w:r>
      <w:r w:rsidRPr="00AA6DC9">
        <w:rPr>
          <w:rFonts w:ascii="Times New Roman" w:hAnsi="Times New Roman" w:cs="Times New Roman"/>
          <w:i/>
          <w:iCs/>
          <w:sz w:val="24"/>
          <w:szCs w:val="24"/>
        </w:rPr>
        <w:t>L'allocation de logement familiale est accordée :</w:t>
      </w:r>
    </w:p>
    <w:p w14:paraId="63A55F03" w14:textId="468422AC" w:rsidR="00AA6DC9" w:rsidRPr="00AA6DC9" w:rsidRDefault="00AA6DC9" w:rsidP="00AA6DC9">
      <w:pPr>
        <w:jc w:val="both"/>
        <w:rPr>
          <w:rFonts w:ascii="Times New Roman" w:hAnsi="Times New Roman" w:cs="Times New Roman"/>
          <w:i/>
          <w:iCs/>
          <w:sz w:val="24"/>
          <w:szCs w:val="24"/>
        </w:rPr>
      </w:pPr>
      <w:r w:rsidRPr="00AA6DC9">
        <w:rPr>
          <w:rFonts w:ascii="Times New Roman" w:hAnsi="Times New Roman" w:cs="Times New Roman"/>
          <w:i/>
          <w:iCs/>
          <w:sz w:val="24"/>
          <w:szCs w:val="24"/>
        </w:rPr>
        <w:t>[...]</w:t>
      </w:r>
    </w:p>
    <w:p w14:paraId="2F34478F" w14:textId="5633082F" w:rsidR="00AA6DC9" w:rsidRPr="00AA6DC9" w:rsidRDefault="00AA6DC9" w:rsidP="00AA6DC9">
      <w:pPr>
        <w:jc w:val="both"/>
        <w:rPr>
          <w:rFonts w:ascii="Times New Roman" w:hAnsi="Times New Roman" w:cs="Times New Roman"/>
          <w:i/>
          <w:iCs/>
          <w:sz w:val="24"/>
          <w:szCs w:val="24"/>
        </w:rPr>
      </w:pPr>
      <w:r w:rsidRPr="00AA6DC9">
        <w:rPr>
          <w:rFonts w:ascii="Times New Roman" w:hAnsi="Times New Roman" w:cs="Times New Roman"/>
          <w:i/>
          <w:iCs/>
          <w:sz w:val="24"/>
          <w:szCs w:val="24"/>
        </w:rPr>
        <w:t>2° Aux ménages ou personnes qui, n'ayant pas droit à l'une des prestations énumérées au 1°, ont un enfant à charge au sens de l'article L. 512-3 du code de la sécurité sociale ;</w:t>
      </w:r>
    </w:p>
    <w:p w14:paraId="7ECDDBE5" w14:textId="73DEB15E" w:rsidR="00AA6DC9" w:rsidRDefault="00AA6DC9" w:rsidP="00AA6DC9">
      <w:pPr>
        <w:jc w:val="both"/>
        <w:rPr>
          <w:rFonts w:ascii="Times New Roman" w:hAnsi="Times New Roman" w:cs="Times New Roman"/>
          <w:sz w:val="24"/>
          <w:szCs w:val="24"/>
        </w:rPr>
      </w:pPr>
      <w:r w:rsidRPr="00AA6DC9">
        <w:rPr>
          <w:rFonts w:ascii="Times New Roman" w:hAnsi="Times New Roman" w:cs="Times New Roman"/>
          <w:i/>
          <w:iCs/>
          <w:sz w:val="24"/>
          <w:szCs w:val="24"/>
        </w:rPr>
        <w:t>[...]</w:t>
      </w:r>
      <w:r>
        <w:rPr>
          <w:rFonts w:ascii="Times New Roman" w:hAnsi="Times New Roman" w:cs="Times New Roman"/>
          <w:sz w:val="24"/>
          <w:szCs w:val="24"/>
        </w:rPr>
        <w:t> »</w:t>
      </w:r>
    </w:p>
    <w:p w14:paraId="2D15D2C6" w14:textId="77777777" w:rsidR="00AA6DC9" w:rsidRDefault="00AA6DC9" w:rsidP="003828AD">
      <w:pPr>
        <w:jc w:val="both"/>
        <w:rPr>
          <w:rFonts w:ascii="Times New Roman" w:hAnsi="Times New Roman" w:cs="Times New Roman"/>
          <w:sz w:val="24"/>
          <w:szCs w:val="24"/>
        </w:rPr>
      </w:pPr>
    </w:p>
    <w:p w14:paraId="0D329C4F" w14:textId="46E42386" w:rsidR="007A6BCD" w:rsidRDefault="007A6BCD"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Cet article est peu précis quant à la question de l’enfant à charge. En effet, il ne fait mention que des ménages ayant « un enfant à charge ». Faut-il en déduire qu’il s’agit de tous les ménages ayant </w:t>
      </w:r>
      <w:r>
        <w:rPr>
          <w:rFonts w:ascii="Times New Roman" w:hAnsi="Times New Roman" w:cs="Times New Roman"/>
          <w:i/>
          <w:iCs/>
          <w:sz w:val="24"/>
          <w:szCs w:val="24"/>
        </w:rPr>
        <w:t xml:space="preserve">au moins </w:t>
      </w:r>
      <w:r>
        <w:rPr>
          <w:rFonts w:ascii="Times New Roman" w:hAnsi="Times New Roman" w:cs="Times New Roman"/>
          <w:sz w:val="24"/>
          <w:szCs w:val="24"/>
        </w:rPr>
        <w:t xml:space="preserve">un enfant à charge ou s’agit-il uniquement des ménages n’ayant exactement qu’un seul enfant à charge ? </w:t>
      </w:r>
    </w:p>
    <w:p w14:paraId="3933A478" w14:textId="0D3972CD" w:rsidR="000D7844" w:rsidRDefault="000D7844" w:rsidP="003828AD">
      <w:pPr>
        <w:jc w:val="both"/>
        <w:rPr>
          <w:rFonts w:ascii="Times New Roman" w:hAnsi="Times New Roman" w:cs="Times New Roman"/>
          <w:sz w:val="24"/>
          <w:szCs w:val="24"/>
        </w:rPr>
      </w:pPr>
    </w:p>
    <w:p w14:paraId="599832A3" w14:textId="77777777" w:rsidR="000D7844" w:rsidRPr="000D7844" w:rsidRDefault="000D7844" w:rsidP="000D7844">
      <w:pPr>
        <w:jc w:val="both"/>
        <w:rPr>
          <w:rFonts w:ascii="Times New Roman" w:hAnsi="Times New Roman" w:cs="Times New Roman"/>
          <w:sz w:val="24"/>
          <w:szCs w:val="24"/>
          <w:u w:val="single"/>
        </w:rPr>
      </w:pPr>
      <w:r w:rsidRPr="000D7844">
        <w:rPr>
          <w:rFonts w:ascii="Times New Roman" w:hAnsi="Times New Roman" w:cs="Times New Roman"/>
          <w:sz w:val="24"/>
          <w:szCs w:val="24"/>
          <w:u w:val="single"/>
        </w:rPr>
        <w:t xml:space="preserve">Article L841-2 : </w:t>
      </w:r>
    </w:p>
    <w:p w14:paraId="3EDB75DA" w14:textId="0A161C22" w:rsidR="000D7844" w:rsidRDefault="000D7844" w:rsidP="000D7844">
      <w:pPr>
        <w:jc w:val="both"/>
        <w:rPr>
          <w:rFonts w:ascii="Times New Roman" w:hAnsi="Times New Roman" w:cs="Times New Roman"/>
          <w:sz w:val="24"/>
          <w:szCs w:val="24"/>
        </w:rPr>
      </w:pPr>
    </w:p>
    <w:p w14:paraId="28F17FE9" w14:textId="15AC865A" w:rsidR="00E53F29" w:rsidRDefault="00E53F29" w:rsidP="000D7844">
      <w:pPr>
        <w:jc w:val="both"/>
        <w:rPr>
          <w:rFonts w:ascii="Times New Roman" w:hAnsi="Times New Roman" w:cs="Times New Roman"/>
          <w:sz w:val="24"/>
          <w:szCs w:val="24"/>
        </w:rPr>
      </w:pPr>
      <w:r>
        <w:rPr>
          <w:rFonts w:ascii="Times New Roman" w:hAnsi="Times New Roman" w:cs="Times New Roman"/>
          <w:sz w:val="24"/>
          <w:szCs w:val="24"/>
        </w:rPr>
        <w:t>« </w:t>
      </w:r>
      <w:r w:rsidRPr="00E53F29">
        <w:rPr>
          <w:rFonts w:ascii="Times New Roman" w:hAnsi="Times New Roman" w:cs="Times New Roman"/>
          <w:i/>
          <w:iCs/>
          <w:sz w:val="24"/>
          <w:szCs w:val="24"/>
        </w:rPr>
        <w:t>Les personnes ne bénéficiant pas de l'allocation de logement familiale ou de l'aide personnalisée au logement peuvent prétendre au bénéfice de l'allocation de logement sociale</w:t>
      </w:r>
      <w:r w:rsidRPr="00E53F29">
        <w:rPr>
          <w:rFonts w:ascii="Times New Roman" w:hAnsi="Times New Roman" w:cs="Times New Roman"/>
          <w:sz w:val="24"/>
          <w:szCs w:val="24"/>
        </w:rPr>
        <w:t>.</w:t>
      </w:r>
      <w:r>
        <w:rPr>
          <w:rFonts w:ascii="Times New Roman" w:hAnsi="Times New Roman" w:cs="Times New Roman"/>
          <w:sz w:val="24"/>
          <w:szCs w:val="24"/>
        </w:rPr>
        <w:t> »</w:t>
      </w:r>
    </w:p>
    <w:p w14:paraId="16AAF195" w14:textId="77777777" w:rsidR="00E53F29" w:rsidRPr="000D7844" w:rsidRDefault="00E53F29" w:rsidP="000D7844">
      <w:pPr>
        <w:jc w:val="both"/>
        <w:rPr>
          <w:rFonts w:ascii="Times New Roman" w:hAnsi="Times New Roman" w:cs="Times New Roman"/>
          <w:sz w:val="24"/>
          <w:szCs w:val="24"/>
        </w:rPr>
      </w:pPr>
    </w:p>
    <w:p w14:paraId="0444EF7C" w14:textId="7782C4D6" w:rsidR="000D7844" w:rsidRPr="000D7844" w:rsidRDefault="00E53F29" w:rsidP="000D7844">
      <w:pPr>
        <w:jc w:val="both"/>
        <w:rPr>
          <w:rFonts w:ascii="Times New Roman" w:hAnsi="Times New Roman" w:cs="Times New Roman"/>
          <w:sz w:val="24"/>
          <w:szCs w:val="24"/>
        </w:rPr>
      </w:pPr>
      <w:r>
        <w:rPr>
          <w:rFonts w:ascii="Wingdings" w:hAnsi="Wingdings" w:cs="Times New Roman"/>
          <w:sz w:val="24"/>
          <w:szCs w:val="24"/>
        </w:rPr>
        <w:t>à</w:t>
      </w:r>
      <w:r w:rsidR="000D7844" w:rsidRPr="000D7844">
        <w:rPr>
          <w:rFonts w:ascii="Times New Roman" w:hAnsi="Times New Roman" w:cs="Times New Roman"/>
          <w:sz w:val="24"/>
          <w:szCs w:val="24"/>
        </w:rPr>
        <w:t xml:space="preserve"> Est-il exact de considérer que cet article </w:t>
      </w:r>
      <w:r w:rsidR="00E46FFE">
        <w:rPr>
          <w:rFonts w:ascii="Times New Roman" w:hAnsi="Times New Roman" w:cs="Times New Roman"/>
          <w:sz w:val="24"/>
          <w:szCs w:val="24"/>
        </w:rPr>
        <w:t>détermine</w:t>
      </w:r>
      <w:r w:rsidR="000D7844" w:rsidRPr="000D7844">
        <w:rPr>
          <w:rFonts w:ascii="Times New Roman" w:hAnsi="Times New Roman" w:cs="Times New Roman"/>
          <w:sz w:val="24"/>
          <w:szCs w:val="24"/>
        </w:rPr>
        <w:t xml:space="preserve"> une hiérarchie pour l’accession aux aides au logement c'est-à-dire que :</w:t>
      </w:r>
    </w:p>
    <w:p w14:paraId="4BBFD144" w14:textId="35A78D1E" w:rsidR="000D7844" w:rsidRDefault="00AC7A4A" w:rsidP="000D7844">
      <w:pPr>
        <w:pStyle w:val="Paragraphedeliste"/>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 un ménage est éligible aux aides personnelles au logement, il bénéficie des aides personnelles. </w:t>
      </w:r>
    </w:p>
    <w:p w14:paraId="34A80988" w14:textId="52CDF8A1" w:rsidR="00AC7A4A" w:rsidRDefault="00AC7A4A" w:rsidP="000D7844">
      <w:pPr>
        <w:pStyle w:val="Paragraphedeliste"/>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S’il n’est pas éligible aux aides personnelles mais est éligible aux allocations de logement familiales, il bénéficie de ces dernières. </w:t>
      </w:r>
    </w:p>
    <w:p w14:paraId="50349804" w14:textId="159D5F4C" w:rsidR="00AC7A4A" w:rsidRPr="000D7844" w:rsidRDefault="00AC7A4A" w:rsidP="000D7844">
      <w:pPr>
        <w:pStyle w:val="Paragraphedeliste"/>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S’il ne bénéficie ni des APL ni des allocations de logement familiales, il peut prétendre aux allocations de logement sociales. </w:t>
      </w:r>
    </w:p>
    <w:p w14:paraId="3F201A13" w14:textId="77777777" w:rsidR="00EA2C95" w:rsidRDefault="00EA2C95" w:rsidP="003828AD">
      <w:pPr>
        <w:pBdr>
          <w:bottom w:val="single" w:sz="6" w:space="1" w:color="auto"/>
        </w:pBdr>
        <w:jc w:val="both"/>
        <w:rPr>
          <w:rFonts w:ascii="Times New Roman" w:hAnsi="Times New Roman" w:cs="Times New Roman"/>
          <w:sz w:val="24"/>
          <w:szCs w:val="24"/>
        </w:rPr>
      </w:pPr>
    </w:p>
    <w:p w14:paraId="325F958D" w14:textId="17F9104D" w:rsidR="00480E6B" w:rsidRDefault="00480E6B" w:rsidP="003828AD">
      <w:pPr>
        <w:jc w:val="both"/>
        <w:rPr>
          <w:rFonts w:ascii="Times New Roman" w:hAnsi="Times New Roman" w:cs="Times New Roman"/>
          <w:sz w:val="24"/>
          <w:szCs w:val="24"/>
        </w:rPr>
      </w:pPr>
    </w:p>
    <w:p w14:paraId="48F317CA" w14:textId="3C0B9AD8" w:rsidR="00480E6B" w:rsidRPr="00480E6B" w:rsidRDefault="00480E6B" w:rsidP="003828AD">
      <w:pPr>
        <w:jc w:val="both"/>
        <w:rPr>
          <w:rFonts w:ascii="Times New Roman" w:hAnsi="Times New Roman" w:cs="Times New Roman"/>
          <w:b/>
          <w:bCs/>
          <w:sz w:val="24"/>
          <w:szCs w:val="24"/>
        </w:rPr>
      </w:pPr>
      <w:r w:rsidRPr="00480E6B">
        <w:rPr>
          <w:rFonts w:ascii="Times New Roman" w:hAnsi="Times New Roman" w:cs="Times New Roman"/>
          <w:b/>
          <w:bCs/>
          <w:sz w:val="24"/>
          <w:szCs w:val="24"/>
        </w:rPr>
        <w:t xml:space="preserve">Dans la partie </w:t>
      </w:r>
      <w:r>
        <w:rPr>
          <w:rFonts w:ascii="Times New Roman" w:hAnsi="Times New Roman" w:cs="Times New Roman"/>
          <w:b/>
          <w:bCs/>
          <w:sz w:val="24"/>
          <w:szCs w:val="24"/>
        </w:rPr>
        <w:t>réglementaire</w:t>
      </w:r>
      <w:r w:rsidRPr="00480E6B">
        <w:rPr>
          <w:rFonts w:ascii="Times New Roman" w:hAnsi="Times New Roman" w:cs="Times New Roman"/>
          <w:b/>
          <w:bCs/>
          <w:sz w:val="24"/>
          <w:szCs w:val="24"/>
        </w:rPr>
        <w:t xml:space="preserve"> du Code de la construction et de l’habitation : </w:t>
      </w:r>
    </w:p>
    <w:p w14:paraId="3B42F14C" w14:textId="77777777" w:rsidR="00480E6B" w:rsidRDefault="00480E6B" w:rsidP="003828AD">
      <w:pPr>
        <w:jc w:val="both"/>
        <w:rPr>
          <w:rFonts w:ascii="Times New Roman" w:hAnsi="Times New Roman" w:cs="Times New Roman"/>
          <w:sz w:val="24"/>
          <w:szCs w:val="24"/>
        </w:rPr>
      </w:pPr>
    </w:p>
    <w:p w14:paraId="6EC02958" w14:textId="02865D92" w:rsidR="0041563E" w:rsidRDefault="0041563E" w:rsidP="003828AD">
      <w:pPr>
        <w:jc w:val="both"/>
        <w:rPr>
          <w:rFonts w:ascii="Times New Roman" w:hAnsi="Times New Roman" w:cs="Times New Roman"/>
          <w:sz w:val="24"/>
          <w:szCs w:val="24"/>
        </w:rPr>
      </w:pPr>
      <w:r>
        <w:rPr>
          <w:rFonts w:ascii="Times New Roman" w:hAnsi="Times New Roman" w:cs="Times New Roman"/>
          <w:sz w:val="24"/>
          <w:szCs w:val="24"/>
          <w:u w:val="single"/>
        </w:rPr>
        <w:t>Article R822-2 :</w:t>
      </w:r>
      <w:r>
        <w:rPr>
          <w:rFonts w:ascii="Times New Roman" w:hAnsi="Times New Roman" w:cs="Times New Roman"/>
          <w:sz w:val="24"/>
          <w:szCs w:val="24"/>
        </w:rPr>
        <w:t xml:space="preserve"> </w:t>
      </w:r>
    </w:p>
    <w:p w14:paraId="77C05532" w14:textId="289150FC" w:rsidR="0041563E" w:rsidRDefault="0041563E" w:rsidP="003828AD">
      <w:pPr>
        <w:jc w:val="both"/>
        <w:rPr>
          <w:rFonts w:ascii="Times New Roman" w:hAnsi="Times New Roman" w:cs="Times New Roman"/>
          <w:sz w:val="24"/>
          <w:szCs w:val="24"/>
        </w:rPr>
      </w:pPr>
    </w:p>
    <w:p w14:paraId="69DC9AA7" w14:textId="1057BF28" w:rsidR="0041563E" w:rsidRPr="0041563E" w:rsidRDefault="0041563E" w:rsidP="003828AD">
      <w:pPr>
        <w:jc w:val="both"/>
        <w:rPr>
          <w:rFonts w:ascii="Times New Roman" w:hAnsi="Times New Roman" w:cs="Times New Roman"/>
          <w:sz w:val="24"/>
          <w:szCs w:val="24"/>
        </w:rPr>
      </w:pPr>
      <w:r>
        <w:rPr>
          <w:rFonts w:ascii="Times New Roman" w:hAnsi="Times New Roman" w:cs="Times New Roman"/>
          <w:sz w:val="24"/>
          <w:szCs w:val="24"/>
        </w:rPr>
        <w:t>« </w:t>
      </w:r>
      <w:r w:rsidRPr="0041563E">
        <w:rPr>
          <w:rFonts w:ascii="Times New Roman" w:hAnsi="Times New Roman" w:cs="Times New Roman"/>
          <w:i/>
          <w:iCs/>
          <w:sz w:val="24"/>
          <w:szCs w:val="24"/>
        </w:rPr>
        <w:t>Les ressources prises en compte pour le calcul de l'aide personnelle au logement sont celles dont bénéficient le demandeur ou l'allocataire, son conjoint et les personnes vivant habituellement au foyer</w:t>
      </w:r>
      <w:r w:rsidRPr="0041563E">
        <w:rPr>
          <w:rFonts w:ascii="Times New Roman" w:hAnsi="Times New Roman" w:cs="Times New Roman"/>
          <w:sz w:val="24"/>
          <w:szCs w:val="24"/>
        </w:rPr>
        <w:t>.</w:t>
      </w:r>
      <w:r>
        <w:rPr>
          <w:rFonts w:ascii="Times New Roman" w:hAnsi="Times New Roman" w:cs="Times New Roman"/>
          <w:sz w:val="24"/>
          <w:szCs w:val="24"/>
        </w:rPr>
        <w:t> »</w:t>
      </w:r>
    </w:p>
    <w:p w14:paraId="6259001B" w14:textId="114D1948" w:rsidR="003828AD" w:rsidRDefault="003828AD" w:rsidP="003828AD">
      <w:pPr>
        <w:jc w:val="both"/>
        <w:rPr>
          <w:rFonts w:ascii="Times New Roman" w:hAnsi="Times New Roman" w:cs="Times New Roman"/>
          <w:sz w:val="24"/>
          <w:szCs w:val="24"/>
        </w:rPr>
      </w:pPr>
    </w:p>
    <w:p w14:paraId="55CF9807" w14:textId="44BE91F1" w:rsidR="0041563E" w:rsidRDefault="0041563E"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Est-il légitime de considérer que le terme « conjoint » ici englobe également le cas des concubins ? </w:t>
      </w:r>
    </w:p>
    <w:p w14:paraId="5DF19F38" w14:textId="19760AED" w:rsidR="00480E6B" w:rsidRDefault="00480E6B" w:rsidP="003828AD">
      <w:pPr>
        <w:jc w:val="both"/>
        <w:rPr>
          <w:rFonts w:ascii="Times New Roman" w:hAnsi="Times New Roman" w:cs="Times New Roman"/>
          <w:sz w:val="24"/>
          <w:szCs w:val="24"/>
        </w:rPr>
      </w:pPr>
    </w:p>
    <w:p w14:paraId="608DE8EF" w14:textId="79730490" w:rsidR="00480E6B" w:rsidRPr="00480E6B" w:rsidRDefault="00480E6B" w:rsidP="003828AD">
      <w:pPr>
        <w:jc w:val="both"/>
        <w:rPr>
          <w:rFonts w:ascii="Times New Roman" w:hAnsi="Times New Roman" w:cs="Times New Roman"/>
          <w:sz w:val="24"/>
          <w:szCs w:val="24"/>
          <w:u w:val="single"/>
        </w:rPr>
      </w:pPr>
      <w:r w:rsidRPr="00480E6B">
        <w:rPr>
          <w:rFonts w:ascii="Times New Roman" w:hAnsi="Times New Roman" w:cs="Times New Roman"/>
          <w:sz w:val="24"/>
          <w:szCs w:val="24"/>
          <w:u w:val="single"/>
        </w:rPr>
        <w:t xml:space="preserve">Article R823-4 : </w:t>
      </w:r>
    </w:p>
    <w:p w14:paraId="4C82EFB7" w14:textId="56330C6E" w:rsidR="00480E6B" w:rsidRDefault="00480E6B" w:rsidP="003828AD">
      <w:pPr>
        <w:jc w:val="both"/>
        <w:rPr>
          <w:rFonts w:ascii="Times New Roman" w:hAnsi="Times New Roman" w:cs="Times New Roman"/>
          <w:sz w:val="24"/>
          <w:szCs w:val="24"/>
        </w:rPr>
      </w:pPr>
    </w:p>
    <w:p w14:paraId="34E705DD" w14:textId="6977F5B8" w:rsidR="00480E6B" w:rsidRPr="00480E6B" w:rsidRDefault="00480E6B" w:rsidP="00480E6B">
      <w:pPr>
        <w:jc w:val="both"/>
        <w:rPr>
          <w:rFonts w:ascii="Times New Roman" w:hAnsi="Times New Roman" w:cs="Times New Roman"/>
          <w:i/>
          <w:iCs/>
          <w:sz w:val="24"/>
          <w:szCs w:val="24"/>
        </w:rPr>
      </w:pPr>
      <w:r>
        <w:rPr>
          <w:rFonts w:ascii="Times New Roman" w:hAnsi="Times New Roman" w:cs="Times New Roman"/>
          <w:sz w:val="24"/>
          <w:szCs w:val="24"/>
        </w:rPr>
        <w:t>« </w:t>
      </w:r>
      <w:r w:rsidRPr="00480E6B">
        <w:rPr>
          <w:rFonts w:ascii="Times New Roman" w:hAnsi="Times New Roman" w:cs="Times New Roman"/>
          <w:i/>
          <w:iCs/>
          <w:sz w:val="24"/>
          <w:szCs w:val="24"/>
        </w:rPr>
        <w:t>Sont considérés comme personnes à charge, sous réserve qu'ils vivent habituellement au foyer :</w:t>
      </w:r>
    </w:p>
    <w:p w14:paraId="1DD8CD3F" w14:textId="77777777" w:rsidR="00480E6B" w:rsidRPr="00480E6B" w:rsidRDefault="00480E6B" w:rsidP="00480E6B">
      <w:pPr>
        <w:jc w:val="both"/>
        <w:rPr>
          <w:rFonts w:ascii="Times New Roman" w:hAnsi="Times New Roman" w:cs="Times New Roman"/>
          <w:i/>
          <w:iCs/>
          <w:sz w:val="24"/>
          <w:szCs w:val="24"/>
        </w:rPr>
      </w:pPr>
      <w:r w:rsidRPr="00480E6B">
        <w:rPr>
          <w:rFonts w:ascii="Times New Roman" w:hAnsi="Times New Roman" w:cs="Times New Roman"/>
          <w:i/>
          <w:iCs/>
          <w:sz w:val="24"/>
          <w:szCs w:val="24"/>
        </w:rPr>
        <w:t>1° Les enfants de moins de vingt et un ans et considérés comme à charge au sens des 1° et 2° de l'article L. 512-3 du code de la sécurité sociale et de l'article L. 823-2 du présent code ;</w:t>
      </w:r>
    </w:p>
    <w:p w14:paraId="2146BB30" w14:textId="77777777" w:rsidR="00480E6B" w:rsidRPr="00480E6B" w:rsidRDefault="00480E6B" w:rsidP="00480E6B">
      <w:pPr>
        <w:jc w:val="both"/>
        <w:rPr>
          <w:rFonts w:ascii="Times New Roman" w:hAnsi="Times New Roman" w:cs="Times New Roman"/>
          <w:i/>
          <w:iCs/>
          <w:sz w:val="24"/>
          <w:szCs w:val="24"/>
        </w:rPr>
      </w:pPr>
      <w:r w:rsidRPr="00480E6B">
        <w:rPr>
          <w:rFonts w:ascii="Times New Roman" w:hAnsi="Times New Roman" w:cs="Times New Roman"/>
          <w:i/>
          <w:iCs/>
          <w:sz w:val="24"/>
          <w:szCs w:val="24"/>
        </w:rPr>
        <w:t>2° Les ascendants du bénéficiaire ou de son conjoint dont les ressources déterminées dans les conditions prévues aux articles R. 822-3 à R. 822-6 n'excèdent pas le plafond individuel prévu à l'article L. 815-9 du code de la sécurité sociale, en vigueur au 31 décembre de l'année de référence multiplié par 1,25 :</w:t>
      </w:r>
    </w:p>
    <w:p w14:paraId="3187D6FD" w14:textId="77777777" w:rsidR="00480E6B" w:rsidRPr="00480E6B" w:rsidRDefault="00480E6B" w:rsidP="00480E6B">
      <w:pPr>
        <w:jc w:val="both"/>
        <w:rPr>
          <w:rFonts w:ascii="Times New Roman" w:hAnsi="Times New Roman" w:cs="Times New Roman"/>
          <w:i/>
          <w:iCs/>
          <w:sz w:val="24"/>
          <w:szCs w:val="24"/>
        </w:rPr>
      </w:pPr>
      <w:r w:rsidRPr="00480E6B">
        <w:rPr>
          <w:rFonts w:ascii="Times New Roman" w:hAnsi="Times New Roman" w:cs="Times New Roman"/>
          <w:i/>
          <w:iCs/>
          <w:sz w:val="24"/>
          <w:szCs w:val="24"/>
        </w:rPr>
        <w:t>a) Ayant au moins l'âge prévu par le 1° de l'article L. 351-8 du code de la sécurité sociale ou, s'ils sont titulaires de l'allocation de solidarité aux personnes âgées, soixante-cinq ans ;</w:t>
      </w:r>
    </w:p>
    <w:p w14:paraId="434F6461" w14:textId="77777777" w:rsidR="00480E6B" w:rsidRPr="00480E6B" w:rsidRDefault="00480E6B" w:rsidP="00480E6B">
      <w:pPr>
        <w:jc w:val="both"/>
        <w:rPr>
          <w:rFonts w:ascii="Times New Roman" w:hAnsi="Times New Roman" w:cs="Times New Roman"/>
          <w:i/>
          <w:iCs/>
          <w:sz w:val="24"/>
          <w:szCs w:val="24"/>
        </w:rPr>
      </w:pPr>
      <w:r w:rsidRPr="00480E6B">
        <w:rPr>
          <w:rFonts w:ascii="Times New Roman" w:hAnsi="Times New Roman" w:cs="Times New Roman"/>
          <w:i/>
          <w:iCs/>
          <w:sz w:val="24"/>
          <w:szCs w:val="24"/>
        </w:rPr>
        <w:t>b) Ayant au moins l'âge prévu par l'article L. 161-17-2 du code de la sécurité sociale et bénéficiaires des articles L. 161-19, L. 351-8 ou L. 643-3 du même code ;</w:t>
      </w:r>
    </w:p>
    <w:p w14:paraId="7044E766" w14:textId="0327B3CE" w:rsidR="00480E6B" w:rsidRDefault="00480E6B" w:rsidP="00480E6B">
      <w:pPr>
        <w:jc w:val="both"/>
        <w:rPr>
          <w:rFonts w:ascii="Times New Roman" w:hAnsi="Times New Roman" w:cs="Times New Roman"/>
          <w:sz w:val="24"/>
          <w:szCs w:val="24"/>
        </w:rPr>
      </w:pPr>
      <w:r w:rsidRPr="00480E6B">
        <w:rPr>
          <w:rFonts w:ascii="Times New Roman" w:hAnsi="Times New Roman" w:cs="Times New Roman"/>
          <w:i/>
          <w:iCs/>
          <w:sz w:val="24"/>
          <w:szCs w:val="24"/>
        </w:rPr>
        <w:t>3° Les ascendants, descendants ou collatéraux au deuxième ou au troisième degré du bénéficiaire ou de son conjoint dont l'incapacité permanente est au moins égale à 80 % ou qui présentent, compte tenu de leur handicap, une restriction substantielle et durable dans l'accès à l'emploi au sens de l'article L. 821-2 du code de la sécurité sociale reconnue par la commission des droits et de l'autonomie des personnes handicapées prévue par l'article L. 146-9 du code de l'action sociale et des familles, et dont les ressources déterminées dans les conditions prévues aux articles R. 822-3 à R. 822-6 n'excèdent pas le plafond individuel prévu à l'article L. 815-9 du code de la sécurité sociale en vigueur au 31 décembre de l'année de référence multiplié par 1,25</w:t>
      </w:r>
      <w:r w:rsidRPr="00480E6B">
        <w:rPr>
          <w:rFonts w:ascii="Times New Roman" w:hAnsi="Times New Roman" w:cs="Times New Roman"/>
          <w:sz w:val="24"/>
          <w:szCs w:val="24"/>
        </w:rPr>
        <w:t>.</w:t>
      </w:r>
      <w:r>
        <w:rPr>
          <w:rFonts w:ascii="Times New Roman" w:hAnsi="Times New Roman" w:cs="Times New Roman"/>
          <w:sz w:val="24"/>
          <w:szCs w:val="24"/>
        </w:rPr>
        <w:t> »</w:t>
      </w:r>
    </w:p>
    <w:p w14:paraId="7EA220BE" w14:textId="2CCF1AF3" w:rsidR="00480E6B" w:rsidRDefault="00480E6B" w:rsidP="003828AD">
      <w:pPr>
        <w:jc w:val="both"/>
        <w:rPr>
          <w:rFonts w:ascii="Times New Roman" w:hAnsi="Times New Roman" w:cs="Times New Roman"/>
          <w:sz w:val="24"/>
          <w:szCs w:val="24"/>
        </w:rPr>
      </w:pPr>
    </w:p>
    <w:p w14:paraId="2049B4EB" w14:textId="5ADC48AB" w:rsidR="00480E6B" w:rsidRDefault="00480E6B"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Est-il légitime ici de regrouper l’ensemble des personnes à charge autres que les enfants sous une seule et même étiquette de « parents à charge » ? </w:t>
      </w:r>
    </w:p>
    <w:p w14:paraId="4FDCACAD" w14:textId="5FD9398B" w:rsidR="00F265CE" w:rsidRDefault="00F265CE" w:rsidP="003828AD">
      <w:pPr>
        <w:jc w:val="both"/>
        <w:rPr>
          <w:rFonts w:ascii="Times New Roman" w:hAnsi="Times New Roman" w:cs="Times New Roman"/>
          <w:sz w:val="24"/>
          <w:szCs w:val="24"/>
        </w:rPr>
      </w:pPr>
    </w:p>
    <w:p w14:paraId="2B817B63" w14:textId="25AD2027" w:rsidR="00F265CE" w:rsidRDefault="00F265CE" w:rsidP="003828AD">
      <w:pPr>
        <w:jc w:val="both"/>
        <w:rPr>
          <w:rFonts w:ascii="Times New Roman" w:hAnsi="Times New Roman" w:cs="Times New Roman"/>
          <w:sz w:val="24"/>
          <w:szCs w:val="24"/>
        </w:rPr>
      </w:pPr>
      <w:r>
        <w:rPr>
          <w:rFonts w:ascii="Times New Roman" w:hAnsi="Times New Roman" w:cs="Times New Roman"/>
          <w:sz w:val="24"/>
          <w:szCs w:val="24"/>
          <w:u w:val="single"/>
        </w:rPr>
        <w:t>Article R824-3 :</w:t>
      </w:r>
      <w:r>
        <w:rPr>
          <w:rFonts w:ascii="Times New Roman" w:hAnsi="Times New Roman" w:cs="Times New Roman"/>
          <w:sz w:val="24"/>
          <w:szCs w:val="24"/>
        </w:rPr>
        <w:t xml:space="preserve"> </w:t>
      </w:r>
    </w:p>
    <w:p w14:paraId="7DB73202" w14:textId="78067F9E" w:rsidR="00F265CE" w:rsidRDefault="00F265CE" w:rsidP="003828AD">
      <w:pPr>
        <w:jc w:val="both"/>
        <w:rPr>
          <w:rFonts w:ascii="Times New Roman" w:hAnsi="Times New Roman" w:cs="Times New Roman"/>
          <w:sz w:val="24"/>
          <w:szCs w:val="24"/>
        </w:rPr>
      </w:pPr>
    </w:p>
    <w:p w14:paraId="2C5ACB35" w14:textId="7BF9EA70" w:rsidR="00F265CE" w:rsidRPr="00F265CE" w:rsidRDefault="00F265CE" w:rsidP="003828AD">
      <w:pPr>
        <w:jc w:val="both"/>
        <w:rPr>
          <w:rFonts w:ascii="Times New Roman" w:hAnsi="Times New Roman" w:cs="Times New Roman"/>
          <w:sz w:val="24"/>
          <w:szCs w:val="24"/>
        </w:rPr>
      </w:pPr>
      <w:r>
        <w:rPr>
          <w:rFonts w:ascii="Times New Roman" w:hAnsi="Times New Roman" w:cs="Times New Roman"/>
          <w:sz w:val="24"/>
          <w:szCs w:val="24"/>
        </w:rPr>
        <w:t>« </w:t>
      </w:r>
      <w:r w:rsidRPr="00F265CE">
        <w:rPr>
          <w:rFonts w:ascii="Times New Roman" w:hAnsi="Times New Roman" w:cs="Times New Roman"/>
          <w:i/>
          <w:iCs/>
          <w:sz w:val="24"/>
          <w:szCs w:val="24"/>
        </w:rPr>
        <w:t>Pour l'application du présent chapitre, les redevances prévues par le contrat de location-accession ou par le contrat d'occupation en logement-foyer mentionné à l'article L. 633-1 sont assimilées, respectivement, au montant du loyer et des charges ou à une échéance.</w:t>
      </w:r>
      <w:r>
        <w:rPr>
          <w:rFonts w:ascii="Times New Roman" w:hAnsi="Times New Roman" w:cs="Times New Roman"/>
          <w:sz w:val="24"/>
          <w:szCs w:val="24"/>
        </w:rPr>
        <w:t> »</w:t>
      </w:r>
    </w:p>
    <w:p w14:paraId="497F0E95" w14:textId="3DA3D30F" w:rsidR="00480E6B" w:rsidRDefault="00480E6B" w:rsidP="003828AD">
      <w:pPr>
        <w:jc w:val="both"/>
        <w:rPr>
          <w:rFonts w:ascii="Times New Roman" w:hAnsi="Times New Roman" w:cs="Times New Roman"/>
          <w:sz w:val="24"/>
          <w:szCs w:val="24"/>
        </w:rPr>
      </w:pPr>
    </w:p>
    <w:p w14:paraId="50E4B067" w14:textId="447083EA" w:rsidR="00F265CE" w:rsidRDefault="00F265CE"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Dans le cadre de cette disposition, un sous-locataire est-il considéré comme un locataire en ce qui concerne les impayés ? La distinction est mentionnée de manière explicite dans plusieurs autres articles, s’agit-il là simplement d’un oubli ou s’agit-il d’une omission volontaire ? </w:t>
      </w:r>
    </w:p>
    <w:p w14:paraId="24210E5F" w14:textId="42B788AC" w:rsidR="00480E6B" w:rsidRDefault="00480E6B" w:rsidP="003828AD">
      <w:pPr>
        <w:jc w:val="both"/>
        <w:rPr>
          <w:rFonts w:ascii="Times New Roman" w:hAnsi="Times New Roman" w:cs="Times New Roman"/>
          <w:sz w:val="24"/>
          <w:szCs w:val="24"/>
        </w:rPr>
      </w:pPr>
    </w:p>
    <w:p w14:paraId="160309E6" w14:textId="5CCB8597" w:rsidR="006762C7" w:rsidRDefault="006762C7" w:rsidP="003828AD">
      <w:pPr>
        <w:jc w:val="both"/>
        <w:rPr>
          <w:rFonts w:ascii="Times New Roman" w:hAnsi="Times New Roman" w:cs="Times New Roman"/>
          <w:sz w:val="24"/>
          <w:szCs w:val="24"/>
        </w:rPr>
      </w:pPr>
      <w:r>
        <w:rPr>
          <w:rFonts w:ascii="Times New Roman" w:hAnsi="Times New Roman" w:cs="Times New Roman"/>
          <w:sz w:val="24"/>
          <w:szCs w:val="24"/>
          <w:u w:val="single"/>
        </w:rPr>
        <w:t>Article R831-1 :</w:t>
      </w:r>
      <w:r>
        <w:rPr>
          <w:rFonts w:ascii="Times New Roman" w:hAnsi="Times New Roman" w:cs="Times New Roman"/>
          <w:sz w:val="24"/>
          <w:szCs w:val="24"/>
        </w:rPr>
        <w:t xml:space="preserve"> </w:t>
      </w:r>
    </w:p>
    <w:p w14:paraId="06D0E89F" w14:textId="1778CB6B" w:rsidR="006762C7" w:rsidRDefault="006762C7" w:rsidP="003828AD">
      <w:pPr>
        <w:jc w:val="both"/>
        <w:rPr>
          <w:rFonts w:ascii="Times New Roman" w:hAnsi="Times New Roman" w:cs="Times New Roman"/>
          <w:sz w:val="24"/>
          <w:szCs w:val="24"/>
        </w:rPr>
      </w:pPr>
    </w:p>
    <w:p w14:paraId="2A1E1D0C" w14:textId="6CD881B1" w:rsidR="006762C7" w:rsidRPr="006762C7" w:rsidRDefault="006762C7" w:rsidP="006762C7">
      <w:pPr>
        <w:jc w:val="both"/>
        <w:rPr>
          <w:rFonts w:ascii="Times New Roman" w:hAnsi="Times New Roman" w:cs="Times New Roman"/>
          <w:i/>
          <w:iCs/>
          <w:sz w:val="24"/>
          <w:szCs w:val="24"/>
        </w:rPr>
      </w:pPr>
      <w:r>
        <w:rPr>
          <w:rFonts w:ascii="Times New Roman" w:hAnsi="Times New Roman" w:cs="Times New Roman"/>
          <w:sz w:val="24"/>
          <w:szCs w:val="24"/>
        </w:rPr>
        <w:t>« </w:t>
      </w:r>
      <w:r w:rsidRPr="00982A09">
        <w:rPr>
          <w:rFonts w:ascii="Times New Roman" w:hAnsi="Times New Roman" w:cs="Times New Roman"/>
          <w:i/>
          <w:iCs/>
          <w:sz w:val="24"/>
          <w:szCs w:val="24"/>
        </w:rPr>
        <w:t xml:space="preserve">L'aide personnalisée au logement mentionnée au 1° de l'article L. 821-1 est </w:t>
      </w:r>
      <w:r w:rsidRPr="006762C7">
        <w:rPr>
          <w:rFonts w:ascii="Times New Roman" w:hAnsi="Times New Roman" w:cs="Times New Roman"/>
          <w:i/>
          <w:iCs/>
          <w:sz w:val="24"/>
          <w:szCs w:val="24"/>
        </w:rPr>
        <w:t>attribuée, pour leur résidence principale, aux personnes qui occupent :</w:t>
      </w:r>
      <w:r w:rsidRPr="00982A09">
        <w:rPr>
          <w:rFonts w:ascii="Times New Roman" w:hAnsi="Times New Roman" w:cs="Times New Roman"/>
          <w:i/>
          <w:iCs/>
          <w:sz w:val="24"/>
          <w:szCs w:val="24"/>
        </w:rPr>
        <w:t xml:space="preserve"> </w:t>
      </w:r>
    </w:p>
    <w:p w14:paraId="19C3B765" w14:textId="673C8FE1" w:rsidR="006762C7" w:rsidRPr="006762C7" w:rsidRDefault="006762C7" w:rsidP="006762C7">
      <w:pPr>
        <w:jc w:val="both"/>
        <w:rPr>
          <w:rFonts w:ascii="Times New Roman" w:hAnsi="Times New Roman" w:cs="Times New Roman"/>
          <w:i/>
          <w:iCs/>
          <w:sz w:val="24"/>
          <w:szCs w:val="24"/>
        </w:rPr>
      </w:pPr>
      <w:r w:rsidRPr="006762C7">
        <w:rPr>
          <w:rFonts w:ascii="Times New Roman" w:hAnsi="Times New Roman" w:cs="Times New Roman"/>
          <w:i/>
          <w:iCs/>
          <w:sz w:val="24"/>
          <w:szCs w:val="24"/>
        </w:rPr>
        <w:t>1° Soit le logement dont elles sont propriétaires et qui a été construit, ou</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amélioré, ou acquis et amélioré dans les conditions définies par le 1° de</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l'article L. 831-1 ;</w:t>
      </w:r>
    </w:p>
    <w:p w14:paraId="1D2E63B4" w14:textId="48602745" w:rsidR="006762C7" w:rsidRPr="006762C7" w:rsidRDefault="006762C7" w:rsidP="006762C7">
      <w:pPr>
        <w:jc w:val="both"/>
        <w:rPr>
          <w:rFonts w:ascii="Times New Roman" w:hAnsi="Times New Roman" w:cs="Times New Roman"/>
          <w:i/>
          <w:iCs/>
          <w:sz w:val="24"/>
          <w:szCs w:val="24"/>
        </w:rPr>
      </w:pPr>
      <w:r w:rsidRPr="006762C7">
        <w:rPr>
          <w:rFonts w:ascii="Times New Roman" w:hAnsi="Times New Roman" w:cs="Times New Roman"/>
          <w:i/>
          <w:iCs/>
          <w:sz w:val="24"/>
          <w:szCs w:val="24"/>
        </w:rPr>
        <w:t>2° Soit un logement à usage locatif, faisant l'objet d'une convention conclue</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en application des 2°, 3° ou 4° de l'article L. 831-1 ;</w:t>
      </w:r>
    </w:p>
    <w:p w14:paraId="6A6DA73E" w14:textId="20186129" w:rsidR="006762C7" w:rsidRPr="006762C7" w:rsidRDefault="006762C7" w:rsidP="006762C7">
      <w:pPr>
        <w:jc w:val="both"/>
        <w:rPr>
          <w:rFonts w:ascii="Times New Roman" w:hAnsi="Times New Roman" w:cs="Times New Roman"/>
          <w:i/>
          <w:iCs/>
          <w:sz w:val="24"/>
          <w:szCs w:val="24"/>
        </w:rPr>
      </w:pPr>
      <w:r w:rsidRPr="006762C7">
        <w:rPr>
          <w:rFonts w:ascii="Times New Roman" w:hAnsi="Times New Roman" w:cs="Times New Roman"/>
          <w:i/>
          <w:iCs/>
          <w:sz w:val="24"/>
          <w:szCs w:val="24"/>
        </w:rPr>
        <w:t>3° Soit un logement faisant l'objet d'un contrat de location-accession conclu</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dans les conditions prévues par la loi n° 84-595 du 12 juillet 1984 définissant</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la location-accession à la propriété immobilière et qui a été construit ou acquis</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dans les conditions définies par le 6° de l'article L. 831-1 ;</w:t>
      </w:r>
    </w:p>
    <w:p w14:paraId="17A7D34C" w14:textId="325A7C9F" w:rsidR="006762C7" w:rsidRPr="006762C7" w:rsidRDefault="006762C7" w:rsidP="006762C7">
      <w:pPr>
        <w:jc w:val="both"/>
        <w:rPr>
          <w:rFonts w:ascii="Times New Roman" w:hAnsi="Times New Roman" w:cs="Times New Roman"/>
          <w:i/>
          <w:iCs/>
          <w:sz w:val="24"/>
          <w:szCs w:val="24"/>
        </w:rPr>
      </w:pPr>
      <w:r w:rsidRPr="006762C7">
        <w:rPr>
          <w:rFonts w:ascii="Times New Roman" w:hAnsi="Times New Roman" w:cs="Times New Roman"/>
          <w:i/>
          <w:iCs/>
          <w:sz w:val="24"/>
          <w:szCs w:val="24"/>
        </w:rPr>
        <w:t>4° Soit un local privatif dans un logement-foyer tel que défini à l'article</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L. 633-1, faisant l'objet d'une convention conclue en application du 5° de</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l'article L. 831-1.</w:t>
      </w:r>
    </w:p>
    <w:p w14:paraId="10208F6E" w14:textId="58DD7B77" w:rsidR="006762C7" w:rsidRDefault="006762C7" w:rsidP="003828AD">
      <w:pPr>
        <w:jc w:val="both"/>
        <w:rPr>
          <w:rFonts w:ascii="Times New Roman" w:hAnsi="Times New Roman" w:cs="Times New Roman"/>
          <w:sz w:val="24"/>
          <w:szCs w:val="24"/>
        </w:rPr>
      </w:pPr>
      <w:r w:rsidRPr="006762C7">
        <w:rPr>
          <w:rFonts w:ascii="Times New Roman" w:hAnsi="Times New Roman" w:cs="Times New Roman"/>
          <w:i/>
          <w:iCs/>
          <w:sz w:val="24"/>
          <w:szCs w:val="24"/>
        </w:rPr>
        <w:t>Pour l'application du présent titre, sont assimilés à des propriétaires les</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titulaires d'un contrat leur donnant vocation à l'attribution à terme de la</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propriété du logement qu'ils occupent, ainsi que les porteurs de parts ou</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d'actions de sociétés donnant vocation à l'attribution en propriété du</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logement qu'ils occupent.</w:t>
      </w:r>
      <w:r>
        <w:rPr>
          <w:rFonts w:ascii="Times New Roman" w:hAnsi="Times New Roman" w:cs="Times New Roman"/>
          <w:sz w:val="24"/>
          <w:szCs w:val="24"/>
        </w:rPr>
        <w:t> »</w:t>
      </w:r>
    </w:p>
    <w:p w14:paraId="43D67632" w14:textId="15814092" w:rsidR="0000656D" w:rsidRDefault="0000656D" w:rsidP="003828AD">
      <w:pPr>
        <w:jc w:val="both"/>
        <w:rPr>
          <w:rFonts w:ascii="Times New Roman" w:hAnsi="Times New Roman" w:cs="Times New Roman"/>
          <w:sz w:val="24"/>
          <w:szCs w:val="24"/>
        </w:rPr>
      </w:pPr>
    </w:p>
    <w:p w14:paraId="0C96DBBD" w14:textId="77777777" w:rsidR="00EA4844" w:rsidRDefault="0000656D"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Existe-t-il une distinction entre les termes « logement » et « local à usage exclusif d’habitation » ou peuvent-ils être utilisés indifféremment ?</w:t>
      </w:r>
    </w:p>
    <w:p w14:paraId="38B31DBB" w14:textId="77777777" w:rsidR="00EA4844" w:rsidRDefault="00EA4844" w:rsidP="003828AD">
      <w:pPr>
        <w:jc w:val="both"/>
        <w:rPr>
          <w:rFonts w:ascii="Times New Roman" w:hAnsi="Times New Roman" w:cs="Times New Roman"/>
          <w:sz w:val="24"/>
          <w:szCs w:val="24"/>
        </w:rPr>
      </w:pPr>
    </w:p>
    <w:p w14:paraId="6F23660F" w14:textId="77777777" w:rsidR="00EA4844" w:rsidRDefault="00EA4844" w:rsidP="003828AD">
      <w:pPr>
        <w:jc w:val="both"/>
        <w:rPr>
          <w:rFonts w:ascii="Times New Roman" w:hAnsi="Times New Roman" w:cs="Times New Roman"/>
          <w:sz w:val="24"/>
          <w:szCs w:val="24"/>
        </w:rPr>
      </w:pPr>
      <w:r>
        <w:rPr>
          <w:rFonts w:ascii="Times New Roman" w:hAnsi="Times New Roman" w:cs="Times New Roman"/>
          <w:sz w:val="24"/>
          <w:szCs w:val="24"/>
          <w:u w:val="single"/>
        </w:rPr>
        <w:t>Article D832-11 :</w:t>
      </w:r>
      <w:r>
        <w:rPr>
          <w:rFonts w:ascii="Times New Roman" w:hAnsi="Times New Roman" w:cs="Times New Roman"/>
          <w:sz w:val="24"/>
          <w:szCs w:val="24"/>
        </w:rPr>
        <w:t xml:space="preserve"> </w:t>
      </w:r>
    </w:p>
    <w:p w14:paraId="32BB2A7D" w14:textId="77777777" w:rsidR="00EA4844" w:rsidRDefault="00EA4844" w:rsidP="003828AD">
      <w:pPr>
        <w:jc w:val="both"/>
        <w:rPr>
          <w:rFonts w:ascii="Times New Roman" w:hAnsi="Times New Roman" w:cs="Times New Roman"/>
          <w:sz w:val="24"/>
          <w:szCs w:val="24"/>
        </w:rPr>
      </w:pPr>
    </w:p>
    <w:p w14:paraId="1A96E3CE" w14:textId="7178C233" w:rsidR="0000656D" w:rsidRPr="00EA4844" w:rsidRDefault="00EA4844" w:rsidP="003828AD">
      <w:pPr>
        <w:jc w:val="both"/>
        <w:rPr>
          <w:rFonts w:ascii="Times New Roman" w:hAnsi="Times New Roman" w:cs="Times New Roman"/>
          <w:i/>
          <w:iCs/>
          <w:sz w:val="24"/>
          <w:szCs w:val="24"/>
        </w:rPr>
      </w:pPr>
      <w:r>
        <w:rPr>
          <w:rFonts w:ascii="Times New Roman" w:hAnsi="Times New Roman" w:cs="Times New Roman"/>
          <w:sz w:val="24"/>
          <w:szCs w:val="24"/>
        </w:rPr>
        <w:t xml:space="preserve">« [...] </w:t>
      </w:r>
      <w:r w:rsidRPr="00EA4844">
        <w:rPr>
          <w:rFonts w:ascii="Times New Roman" w:hAnsi="Times New Roman" w:cs="Times New Roman"/>
          <w:i/>
          <w:iCs/>
          <w:sz w:val="24"/>
          <w:szCs w:val="24"/>
        </w:rPr>
        <w:t xml:space="preserve">2° " R " représente la </w:t>
      </w:r>
      <w:r w:rsidRPr="00EA4844">
        <w:rPr>
          <w:rFonts w:ascii="Times New Roman" w:hAnsi="Times New Roman" w:cs="Times New Roman"/>
          <w:b/>
          <w:bCs/>
          <w:i/>
          <w:iCs/>
          <w:sz w:val="24"/>
          <w:szCs w:val="24"/>
        </w:rPr>
        <w:t>limite supérieure de l'intervalle dans lequel se situent les</w:t>
      </w:r>
      <w:r>
        <w:rPr>
          <w:rFonts w:ascii="Times New Roman" w:hAnsi="Times New Roman" w:cs="Times New Roman"/>
          <w:b/>
          <w:bCs/>
          <w:i/>
          <w:iCs/>
          <w:sz w:val="24"/>
          <w:szCs w:val="24"/>
        </w:rPr>
        <w:t xml:space="preserve"> </w:t>
      </w:r>
      <w:r w:rsidRPr="00EA4844">
        <w:rPr>
          <w:rFonts w:ascii="Times New Roman" w:hAnsi="Times New Roman" w:cs="Times New Roman"/>
          <w:b/>
          <w:bCs/>
          <w:i/>
          <w:iCs/>
          <w:sz w:val="24"/>
          <w:szCs w:val="24"/>
        </w:rPr>
        <w:t>ressources</w:t>
      </w:r>
      <w:r>
        <w:rPr>
          <w:rFonts w:ascii="Times New Roman" w:hAnsi="Times New Roman" w:cs="Times New Roman"/>
          <w:b/>
          <w:bCs/>
          <w:i/>
          <w:iCs/>
          <w:sz w:val="24"/>
          <w:szCs w:val="24"/>
        </w:rPr>
        <w:t xml:space="preserve"> </w:t>
      </w:r>
      <w:r w:rsidRPr="00EA4844">
        <w:rPr>
          <w:rFonts w:ascii="Times New Roman" w:hAnsi="Times New Roman" w:cs="Times New Roman"/>
          <w:b/>
          <w:bCs/>
          <w:i/>
          <w:iCs/>
          <w:sz w:val="24"/>
          <w:szCs w:val="24"/>
        </w:rPr>
        <w:t>du ménage</w:t>
      </w:r>
      <w:r w:rsidRPr="00EA4844">
        <w:rPr>
          <w:rFonts w:ascii="Times New Roman" w:hAnsi="Times New Roman" w:cs="Times New Roman"/>
          <w:i/>
          <w:iCs/>
          <w:sz w:val="24"/>
          <w:szCs w:val="24"/>
        </w:rPr>
        <w:t>, appréciées conformément aux dispositions de la section 2 du chapitre II du titre</w:t>
      </w:r>
      <w:r>
        <w:rPr>
          <w:rFonts w:ascii="Times New Roman" w:hAnsi="Times New Roman" w:cs="Times New Roman"/>
          <w:i/>
          <w:iCs/>
          <w:sz w:val="24"/>
          <w:szCs w:val="24"/>
        </w:rPr>
        <w:t xml:space="preserve"> </w:t>
      </w:r>
      <w:r w:rsidRPr="00EA4844">
        <w:rPr>
          <w:rFonts w:ascii="Times New Roman" w:hAnsi="Times New Roman" w:cs="Times New Roman"/>
          <w:i/>
          <w:iCs/>
          <w:sz w:val="24"/>
          <w:szCs w:val="24"/>
        </w:rPr>
        <w:t>II du présent livre et arrondies à la centaine d'euros supérieure ;</w:t>
      </w:r>
      <w:r>
        <w:rPr>
          <w:rFonts w:ascii="Times New Roman" w:hAnsi="Times New Roman" w:cs="Times New Roman"/>
          <w:sz w:val="24"/>
          <w:szCs w:val="24"/>
        </w:rPr>
        <w:t xml:space="preserve"> [...] »</w:t>
      </w:r>
    </w:p>
    <w:p w14:paraId="79AAA5A2" w14:textId="22A12600" w:rsidR="00EA4844" w:rsidRDefault="00EA4844" w:rsidP="003828AD">
      <w:pPr>
        <w:jc w:val="both"/>
        <w:rPr>
          <w:rFonts w:ascii="Times New Roman" w:hAnsi="Times New Roman" w:cs="Times New Roman"/>
          <w:sz w:val="24"/>
          <w:szCs w:val="24"/>
        </w:rPr>
      </w:pPr>
    </w:p>
    <w:p w14:paraId="1D517C79" w14:textId="228A8174" w:rsidR="00A97FEB" w:rsidRDefault="00EA4844"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A quoi fait référence ici la « limite supérieure de l’intervalle »</w:t>
      </w:r>
      <w:r w:rsidR="00345205">
        <w:rPr>
          <w:rFonts w:ascii="Times New Roman" w:hAnsi="Times New Roman" w:cs="Times New Roman"/>
          <w:sz w:val="24"/>
          <w:szCs w:val="24"/>
        </w:rPr>
        <w:t xml:space="preserve"> ? Aucun intervalle n’est défini à la section 2 du Chapitre </w:t>
      </w:r>
      <w:r w:rsidR="00193078">
        <w:rPr>
          <w:rFonts w:ascii="Times New Roman" w:hAnsi="Times New Roman" w:cs="Times New Roman"/>
          <w:sz w:val="24"/>
          <w:szCs w:val="24"/>
        </w:rPr>
        <w:t>II</w:t>
      </w:r>
      <w:r w:rsidR="00345205">
        <w:rPr>
          <w:rFonts w:ascii="Times New Roman" w:hAnsi="Times New Roman" w:cs="Times New Roman"/>
          <w:sz w:val="24"/>
          <w:szCs w:val="24"/>
        </w:rPr>
        <w:t xml:space="preserve"> du Titre </w:t>
      </w:r>
      <w:r w:rsidR="00193078">
        <w:rPr>
          <w:rFonts w:ascii="Times New Roman" w:hAnsi="Times New Roman" w:cs="Times New Roman"/>
          <w:sz w:val="24"/>
          <w:szCs w:val="24"/>
        </w:rPr>
        <w:t>II</w:t>
      </w:r>
      <w:r w:rsidR="00345205">
        <w:rPr>
          <w:rFonts w:ascii="Times New Roman" w:hAnsi="Times New Roman" w:cs="Times New Roman"/>
          <w:sz w:val="24"/>
          <w:szCs w:val="24"/>
        </w:rPr>
        <w:t xml:space="preserve"> du présent livre. Doit-on considérer cet intervalle comme redondant avec l’arrondi à la centaine d’euros supérieure ? </w:t>
      </w:r>
    </w:p>
    <w:p w14:paraId="3C77B9D9" w14:textId="77777777" w:rsidR="00A97FEB" w:rsidRDefault="00A97FEB" w:rsidP="003828AD">
      <w:pPr>
        <w:jc w:val="both"/>
        <w:rPr>
          <w:rFonts w:ascii="Times New Roman" w:hAnsi="Times New Roman" w:cs="Times New Roman"/>
          <w:sz w:val="24"/>
          <w:szCs w:val="24"/>
        </w:rPr>
      </w:pPr>
    </w:p>
    <w:p w14:paraId="5D59D223" w14:textId="6ECCD200" w:rsidR="00A97FEB" w:rsidRDefault="00A97FEB" w:rsidP="003828AD">
      <w:pPr>
        <w:jc w:val="both"/>
        <w:rPr>
          <w:rFonts w:ascii="Times New Roman" w:hAnsi="Times New Roman" w:cs="Times New Roman"/>
          <w:sz w:val="24"/>
          <w:szCs w:val="24"/>
        </w:rPr>
      </w:pPr>
      <w:r>
        <w:rPr>
          <w:rFonts w:ascii="Times New Roman" w:hAnsi="Times New Roman" w:cs="Times New Roman"/>
          <w:sz w:val="24"/>
          <w:szCs w:val="24"/>
          <w:u w:val="single"/>
        </w:rPr>
        <w:t xml:space="preserve">Article </w:t>
      </w:r>
      <w:r w:rsidR="004D74CF">
        <w:rPr>
          <w:rFonts w:ascii="Times New Roman" w:hAnsi="Times New Roman" w:cs="Times New Roman"/>
          <w:sz w:val="24"/>
          <w:szCs w:val="24"/>
          <w:u w:val="single"/>
        </w:rPr>
        <w:t>D</w:t>
      </w:r>
      <w:r>
        <w:rPr>
          <w:rFonts w:ascii="Times New Roman" w:hAnsi="Times New Roman" w:cs="Times New Roman"/>
          <w:sz w:val="24"/>
          <w:szCs w:val="24"/>
          <w:u w:val="single"/>
        </w:rPr>
        <w:t>832-15 :</w:t>
      </w:r>
      <w:r>
        <w:rPr>
          <w:rFonts w:ascii="Times New Roman" w:hAnsi="Times New Roman" w:cs="Times New Roman"/>
          <w:sz w:val="24"/>
          <w:szCs w:val="24"/>
        </w:rPr>
        <w:t xml:space="preserve"> </w:t>
      </w:r>
    </w:p>
    <w:p w14:paraId="6975D786" w14:textId="77777777" w:rsidR="00A97FEB" w:rsidRDefault="00A97FEB" w:rsidP="003828AD">
      <w:pPr>
        <w:jc w:val="both"/>
        <w:rPr>
          <w:rFonts w:ascii="Times New Roman" w:hAnsi="Times New Roman" w:cs="Times New Roman"/>
          <w:sz w:val="24"/>
          <w:szCs w:val="24"/>
        </w:rPr>
      </w:pPr>
    </w:p>
    <w:p w14:paraId="0872303E" w14:textId="446AE62C" w:rsidR="00A97FEB" w:rsidRPr="00A97FEB" w:rsidRDefault="00A97FEB" w:rsidP="00A97FEB">
      <w:pPr>
        <w:jc w:val="both"/>
        <w:rPr>
          <w:rFonts w:ascii="Times New Roman" w:hAnsi="Times New Roman" w:cs="Times New Roman"/>
          <w:i/>
          <w:iCs/>
          <w:sz w:val="24"/>
          <w:szCs w:val="24"/>
        </w:rPr>
      </w:pPr>
      <w:r>
        <w:rPr>
          <w:rFonts w:ascii="Times New Roman" w:hAnsi="Times New Roman" w:cs="Times New Roman"/>
          <w:sz w:val="24"/>
          <w:szCs w:val="24"/>
        </w:rPr>
        <w:t>« </w:t>
      </w:r>
      <w:r w:rsidRPr="00A97FEB">
        <w:rPr>
          <w:rFonts w:ascii="Times New Roman" w:hAnsi="Times New Roman" w:cs="Times New Roman"/>
          <w:i/>
          <w:iCs/>
          <w:sz w:val="24"/>
          <w:szCs w:val="24"/>
        </w:rPr>
        <w:t>La mensualité minimale " L0 ", mentionnée au 5° de l'article D. 832-10 est calculée :</w:t>
      </w:r>
    </w:p>
    <w:p w14:paraId="1B3B8214" w14:textId="54E5B292" w:rsidR="00EA4844" w:rsidRDefault="00A97FEB" w:rsidP="003828AD">
      <w:pPr>
        <w:jc w:val="both"/>
        <w:rPr>
          <w:rFonts w:ascii="Times New Roman" w:hAnsi="Times New Roman" w:cs="Times New Roman"/>
          <w:sz w:val="24"/>
          <w:szCs w:val="24"/>
        </w:rPr>
      </w:pPr>
      <w:r w:rsidRPr="00A97FEB">
        <w:rPr>
          <w:rFonts w:ascii="Times New Roman" w:hAnsi="Times New Roman" w:cs="Times New Roman"/>
          <w:i/>
          <w:iCs/>
          <w:sz w:val="24"/>
          <w:szCs w:val="24"/>
        </w:rPr>
        <w:t>1° Pour les logements construits, agrandis, aménagés à partir de locaux non destinés à l'habitation, acquis et améliorés, occupés par leur propriétaire ou par l'accédant titulaire d'un contrat de location-accession, par l'application de pourcentages à des tranches de ressources dont les limites inférieures et supérieures sont multipliées par le nombre de parts " N " défini au 4° de l'article D. 832-11. Ce résultat est divisé par douze. Les pourcentages et les tranches sont fixés par arrêté selon la date de signature du contrat de prêt ou de location-accession. Les ressources sont appréciées selon les modalités prévues à la section 2 du chapitre II du titre II du</w:t>
      </w:r>
      <w:r>
        <w:rPr>
          <w:rFonts w:ascii="Times New Roman" w:hAnsi="Times New Roman" w:cs="Times New Roman"/>
          <w:i/>
          <w:iCs/>
          <w:sz w:val="24"/>
          <w:szCs w:val="24"/>
        </w:rPr>
        <w:t xml:space="preserve"> </w:t>
      </w:r>
      <w:r w:rsidRPr="00A97FEB">
        <w:rPr>
          <w:rFonts w:ascii="Times New Roman" w:hAnsi="Times New Roman" w:cs="Times New Roman"/>
          <w:i/>
          <w:iCs/>
          <w:sz w:val="24"/>
          <w:szCs w:val="24"/>
        </w:rPr>
        <w:t xml:space="preserve">présent livre et arrondies à la centaine d'euros supérieure. </w:t>
      </w:r>
      <w:bookmarkStart w:id="0" w:name="_Hlk102571896"/>
      <w:r w:rsidRPr="00A97FEB">
        <w:rPr>
          <w:rFonts w:ascii="Times New Roman" w:hAnsi="Times New Roman" w:cs="Times New Roman"/>
          <w:b/>
          <w:bCs/>
          <w:i/>
          <w:iCs/>
          <w:sz w:val="24"/>
          <w:szCs w:val="24"/>
        </w:rPr>
        <w:t>Les pourcentages et le coefficient " N " sont appliqués à la limite supérieure de l'intervalle dans lequel se situent les ressources</w:t>
      </w:r>
      <w:r w:rsidRPr="00A97FEB">
        <w:rPr>
          <w:rFonts w:ascii="Times New Roman" w:hAnsi="Times New Roman" w:cs="Times New Roman"/>
          <w:i/>
          <w:iCs/>
          <w:sz w:val="24"/>
          <w:szCs w:val="24"/>
        </w:rPr>
        <w:t xml:space="preserve"> ;</w:t>
      </w:r>
      <w:r>
        <w:rPr>
          <w:rFonts w:ascii="Times New Roman" w:hAnsi="Times New Roman" w:cs="Times New Roman"/>
          <w:sz w:val="24"/>
          <w:szCs w:val="24"/>
        </w:rPr>
        <w:t> »</w:t>
      </w:r>
      <w:r w:rsidR="00345205">
        <w:rPr>
          <w:rFonts w:ascii="Times New Roman" w:hAnsi="Times New Roman" w:cs="Times New Roman"/>
          <w:sz w:val="24"/>
          <w:szCs w:val="24"/>
        </w:rPr>
        <w:t xml:space="preserve"> </w:t>
      </w:r>
    </w:p>
    <w:bookmarkEnd w:id="0"/>
    <w:p w14:paraId="0B006F39" w14:textId="2AB78B91" w:rsidR="00A97FEB" w:rsidRDefault="00A97FEB" w:rsidP="003828AD">
      <w:pPr>
        <w:jc w:val="both"/>
        <w:rPr>
          <w:rFonts w:ascii="Times New Roman" w:hAnsi="Times New Roman" w:cs="Times New Roman"/>
          <w:sz w:val="24"/>
          <w:szCs w:val="24"/>
        </w:rPr>
      </w:pPr>
    </w:p>
    <w:p w14:paraId="5E71F372" w14:textId="7134E35B" w:rsidR="00A97FEB" w:rsidRDefault="00A97FEB"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Que signifie la phrase : « </w:t>
      </w:r>
      <w:r w:rsidRPr="00A97FEB">
        <w:rPr>
          <w:rFonts w:ascii="Times New Roman" w:hAnsi="Times New Roman" w:cs="Times New Roman"/>
          <w:sz w:val="24"/>
          <w:szCs w:val="24"/>
        </w:rPr>
        <w:t>Les pourcentages et le coefficient " N " sont appliqués à la limite supérieure de l'intervalle dans lequel se situent les ressources ; »</w:t>
      </w:r>
      <w:r>
        <w:rPr>
          <w:rFonts w:ascii="Times New Roman" w:hAnsi="Times New Roman" w:cs="Times New Roman"/>
          <w:sz w:val="24"/>
          <w:szCs w:val="24"/>
        </w:rPr>
        <w:t xml:space="preserve"> ? En effet, pour la tranche la plus haute, il n’y a pas de limite supérieure, comment faut-il appréhender cette tranche ? Doit-on prendre comme revenu la limite supérieure de la tranche à l’exception de la dernière tranche ? Cette disposition est ambiguë. </w:t>
      </w:r>
    </w:p>
    <w:p w14:paraId="1503111F" w14:textId="135D9937" w:rsidR="00B0384C" w:rsidRDefault="00B0384C" w:rsidP="003828AD">
      <w:pPr>
        <w:jc w:val="both"/>
        <w:rPr>
          <w:rFonts w:ascii="Times New Roman" w:hAnsi="Times New Roman" w:cs="Times New Roman"/>
          <w:sz w:val="24"/>
          <w:szCs w:val="24"/>
        </w:rPr>
      </w:pPr>
      <w:r>
        <w:rPr>
          <w:rFonts w:ascii="Wingdings" w:hAnsi="Wingdings" w:cs="Times New Roman"/>
          <w:sz w:val="24"/>
          <w:szCs w:val="24"/>
        </w:rPr>
        <w:t>Ä</w:t>
      </w:r>
      <w:r>
        <w:rPr>
          <w:rFonts w:ascii="Times New Roman" w:hAnsi="Times New Roman" w:cs="Times New Roman"/>
          <w:sz w:val="24"/>
          <w:szCs w:val="24"/>
        </w:rPr>
        <w:t xml:space="preserve"> La même question se pose s’agissant de </w:t>
      </w:r>
      <w:r w:rsidRPr="00F74EA2">
        <w:rPr>
          <w:rFonts w:ascii="Times New Roman" w:hAnsi="Times New Roman" w:cs="Times New Roman"/>
          <w:sz w:val="24"/>
          <w:szCs w:val="24"/>
          <w:u w:val="single"/>
        </w:rPr>
        <w:t>l’article D</w:t>
      </w:r>
      <w:r>
        <w:rPr>
          <w:rFonts w:ascii="Times New Roman" w:hAnsi="Times New Roman" w:cs="Times New Roman"/>
          <w:sz w:val="24"/>
          <w:szCs w:val="24"/>
          <w:u w:val="single"/>
        </w:rPr>
        <w:t>832-26</w:t>
      </w:r>
      <w:r>
        <w:rPr>
          <w:rFonts w:ascii="Times New Roman" w:hAnsi="Times New Roman" w:cs="Times New Roman"/>
          <w:sz w:val="24"/>
          <w:szCs w:val="24"/>
        </w:rPr>
        <w:t xml:space="preserve">. </w:t>
      </w:r>
    </w:p>
    <w:p w14:paraId="08CB99CB" w14:textId="05D7A6D0" w:rsidR="007C431B" w:rsidRDefault="007C431B" w:rsidP="003828AD">
      <w:pPr>
        <w:jc w:val="both"/>
        <w:rPr>
          <w:rFonts w:ascii="Times New Roman" w:hAnsi="Times New Roman" w:cs="Times New Roman"/>
          <w:sz w:val="24"/>
          <w:szCs w:val="24"/>
        </w:rPr>
      </w:pPr>
    </w:p>
    <w:p w14:paraId="118CE495" w14:textId="5A5BC1B9" w:rsidR="007C431B" w:rsidRPr="007C431B" w:rsidRDefault="007C431B" w:rsidP="007C431B">
      <w:pPr>
        <w:jc w:val="both"/>
        <w:rPr>
          <w:rFonts w:ascii="Times New Roman" w:hAnsi="Times New Roman" w:cs="Times New Roman"/>
          <w:sz w:val="24"/>
          <w:szCs w:val="24"/>
        </w:rPr>
      </w:pPr>
      <w:r>
        <w:rPr>
          <w:rFonts w:ascii="Times New Roman" w:hAnsi="Times New Roman" w:cs="Times New Roman"/>
          <w:sz w:val="24"/>
          <w:szCs w:val="24"/>
        </w:rPr>
        <w:t>« </w:t>
      </w:r>
      <w:r w:rsidRPr="00CC3ECE">
        <w:rPr>
          <w:rFonts w:ascii="Times New Roman" w:hAnsi="Times New Roman" w:cs="Times New Roman"/>
          <w:i/>
          <w:iCs/>
          <w:sz w:val="24"/>
          <w:szCs w:val="24"/>
        </w:rPr>
        <w:t>2° Pour les logements existants améliorés et occupés par leur propriétaire, selon</w:t>
      </w:r>
      <w:r w:rsidR="00CC3ECE" w:rsidRPr="00CC3ECE">
        <w:rPr>
          <w:rFonts w:ascii="Times New Roman" w:hAnsi="Times New Roman" w:cs="Times New Roman"/>
          <w:i/>
          <w:iCs/>
          <w:sz w:val="24"/>
          <w:szCs w:val="24"/>
        </w:rPr>
        <w:t xml:space="preserve"> </w:t>
      </w:r>
      <w:r w:rsidRPr="007C431B">
        <w:rPr>
          <w:rFonts w:ascii="Times New Roman" w:hAnsi="Times New Roman" w:cs="Times New Roman"/>
          <w:i/>
          <w:iCs/>
          <w:sz w:val="24"/>
          <w:szCs w:val="24"/>
        </w:rPr>
        <w:t>les dispositions du premier alinéa de l'article D. 832-26 dans lesquelles la</w:t>
      </w:r>
      <w:r w:rsidR="00CC3ECE" w:rsidRPr="00CC3ECE">
        <w:rPr>
          <w:rFonts w:ascii="Times New Roman" w:hAnsi="Times New Roman" w:cs="Times New Roman"/>
          <w:i/>
          <w:iCs/>
          <w:sz w:val="24"/>
          <w:szCs w:val="24"/>
        </w:rPr>
        <w:t xml:space="preserve"> </w:t>
      </w:r>
      <w:r w:rsidRPr="007C431B">
        <w:rPr>
          <w:rFonts w:ascii="Times New Roman" w:hAnsi="Times New Roman" w:cs="Times New Roman"/>
          <w:i/>
          <w:iCs/>
          <w:sz w:val="24"/>
          <w:szCs w:val="24"/>
        </w:rPr>
        <w:t>mensualité minimale " L0 " se substitue à l'équivalence minimale de loyer et de</w:t>
      </w:r>
      <w:r w:rsidR="00CC3ECE" w:rsidRPr="00CC3ECE">
        <w:rPr>
          <w:rFonts w:ascii="Times New Roman" w:hAnsi="Times New Roman" w:cs="Times New Roman"/>
          <w:i/>
          <w:iCs/>
          <w:sz w:val="24"/>
          <w:szCs w:val="24"/>
        </w:rPr>
        <w:t xml:space="preserve"> </w:t>
      </w:r>
      <w:r w:rsidRPr="007C431B">
        <w:rPr>
          <w:rFonts w:ascii="Times New Roman" w:hAnsi="Times New Roman" w:cs="Times New Roman"/>
          <w:i/>
          <w:iCs/>
          <w:sz w:val="24"/>
          <w:szCs w:val="24"/>
        </w:rPr>
        <w:t>charges " E0 ".</w:t>
      </w:r>
      <w:r w:rsidRPr="00CC3ECE">
        <w:rPr>
          <w:rFonts w:ascii="Times New Roman" w:hAnsi="Times New Roman" w:cs="Times New Roman"/>
          <w:i/>
          <w:iCs/>
          <w:sz w:val="24"/>
          <w:szCs w:val="24"/>
        </w:rPr>
        <w:t> </w:t>
      </w:r>
      <w:r>
        <w:rPr>
          <w:rFonts w:ascii="Times New Roman" w:hAnsi="Times New Roman" w:cs="Times New Roman"/>
          <w:sz w:val="24"/>
          <w:szCs w:val="24"/>
        </w:rPr>
        <w:t>»</w:t>
      </w:r>
    </w:p>
    <w:p w14:paraId="3D273787" w14:textId="3C8BA0B2" w:rsidR="007C431B" w:rsidRDefault="007C431B" w:rsidP="003828AD">
      <w:pPr>
        <w:jc w:val="both"/>
        <w:rPr>
          <w:rFonts w:ascii="Times New Roman" w:hAnsi="Times New Roman" w:cs="Times New Roman"/>
          <w:sz w:val="24"/>
          <w:szCs w:val="24"/>
        </w:rPr>
      </w:pPr>
    </w:p>
    <w:p w14:paraId="53A090D9" w14:textId="79BE2C28" w:rsidR="007C431B" w:rsidRPr="00B0384C" w:rsidRDefault="007C431B"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Comment interpréter</w:t>
      </w:r>
      <w:r w:rsidR="00CC3ECE">
        <w:rPr>
          <w:rFonts w:ascii="Times New Roman" w:hAnsi="Times New Roman" w:cs="Times New Roman"/>
          <w:sz w:val="24"/>
          <w:szCs w:val="24"/>
        </w:rPr>
        <w:t xml:space="preserve"> l’article R832-5 </w:t>
      </w:r>
      <w:r>
        <w:rPr>
          <w:rFonts w:ascii="Times New Roman" w:hAnsi="Times New Roman" w:cs="Times New Roman"/>
          <w:sz w:val="24"/>
          <w:szCs w:val="24"/>
        </w:rPr>
        <w:t>dans le cas d’un prêt conventionné D331-63 alinéa 3° où le prêt finance l’acquisition d’un logement existant sans travaux et donc sans amélioration ? Le demandeur est-il éligible à l’APL de ce cas et si oui, le montant de la mensualité minimale est</w:t>
      </w:r>
      <w:r w:rsidR="00DD2B21">
        <w:rPr>
          <w:rFonts w:ascii="Times New Roman" w:hAnsi="Times New Roman" w:cs="Times New Roman"/>
          <w:sz w:val="24"/>
          <w:szCs w:val="24"/>
        </w:rPr>
        <w:t>-il</w:t>
      </w:r>
      <w:r>
        <w:rPr>
          <w:rFonts w:ascii="Times New Roman" w:hAnsi="Times New Roman" w:cs="Times New Roman"/>
          <w:sz w:val="24"/>
          <w:szCs w:val="24"/>
        </w:rPr>
        <w:t xml:space="preserve"> bien calculée selon </w:t>
      </w:r>
      <w:r w:rsidR="00CC3ECE">
        <w:rPr>
          <w:rFonts w:ascii="Times New Roman" w:hAnsi="Times New Roman" w:cs="Times New Roman"/>
          <w:sz w:val="24"/>
          <w:szCs w:val="24"/>
        </w:rPr>
        <w:t xml:space="preserve">cet </w:t>
      </w:r>
      <w:r>
        <w:rPr>
          <w:rFonts w:ascii="Times New Roman" w:hAnsi="Times New Roman" w:cs="Times New Roman"/>
          <w:sz w:val="24"/>
          <w:szCs w:val="24"/>
        </w:rPr>
        <w:t>alinéa 2° de l’article D832-15 ?</w:t>
      </w:r>
    </w:p>
    <w:p w14:paraId="73BB83B5" w14:textId="7BB8B36E" w:rsidR="00684373" w:rsidRDefault="00684373" w:rsidP="003828AD">
      <w:pPr>
        <w:jc w:val="both"/>
        <w:rPr>
          <w:rFonts w:ascii="Times New Roman" w:hAnsi="Times New Roman" w:cs="Times New Roman"/>
          <w:sz w:val="24"/>
          <w:szCs w:val="24"/>
        </w:rPr>
      </w:pPr>
    </w:p>
    <w:p w14:paraId="77C88CC0" w14:textId="36EE9A1F" w:rsidR="00684373" w:rsidRDefault="00684373" w:rsidP="003828AD">
      <w:pPr>
        <w:jc w:val="both"/>
        <w:rPr>
          <w:rFonts w:ascii="Times New Roman" w:hAnsi="Times New Roman" w:cs="Times New Roman"/>
          <w:sz w:val="24"/>
          <w:szCs w:val="24"/>
        </w:rPr>
      </w:pPr>
      <w:r>
        <w:rPr>
          <w:rFonts w:ascii="Times New Roman" w:hAnsi="Times New Roman" w:cs="Times New Roman"/>
          <w:sz w:val="24"/>
          <w:szCs w:val="24"/>
          <w:u w:val="single"/>
        </w:rPr>
        <w:t>Article D832-18 :</w:t>
      </w:r>
      <w:r>
        <w:rPr>
          <w:rFonts w:ascii="Times New Roman" w:hAnsi="Times New Roman" w:cs="Times New Roman"/>
          <w:sz w:val="24"/>
          <w:szCs w:val="24"/>
        </w:rPr>
        <w:t xml:space="preserve"> </w:t>
      </w:r>
    </w:p>
    <w:p w14:paraId="7A9B773E" w14:textId="393A7983" w:rsidR="00684373" w:rsidRDefault="00684373" w:rsidP="003828AD">
      <w:pPr>
        <w:jc w:val="both"/>
        <w:rPr>
          <w:rFonts w:ascii="Times New Roman" w:hAnsi="Times New Roman" w:cs="Times New Roman"/>
          <w:sz w:val="24"/>
          <w:szCs w:val="24"/>
        </w:rPr>
      </w:pPr>
    </w:p>
    <w:p w14:paraId="13547753" w14:textId="5A19DC16" w:rsidR="00684373" w:rsidRDefault="00684373" w:rsidP="003828AD">
      <w:pPr>
        <w:jc w:val="both"/>
        <w:rPr>
          <w:rFonts w:ascii="Times New Roman" w:hAnsi="Times New Roman" w:cs="Times New Roman"/>
          <w:sz w:val="24"/>
          <w:szCs w:val="24"/>
        </w:rPr>
      </w:pPr>
      <w:r>
        <w:rPr>
          <w:rFonts w:ascii="Times New Roman" w:hAnsi="Times New Roman" w:cs="Times New Roman"/>
          <w:sz w:val="24"/>
          <w:szCs w:val="24"/>
        </w:rPr>
        <w:t>« </w:t>
      </w:r>
      <w:r w:rsidRPr="00684373">
        <w:rPr>
          <w:rFonts w:ascii="Times New Roman" w:hAnsi="Times New Roman" w:cs="Times New Roman"/>
          <w:i/>
          <w:iCs/>
          <w:sz w:val="24"/>
          <w:szCs w:val="24"/>
        </w:rPr>
        <w:t>Si les ressources du bénéficiaire et de son conjoint déterminées selon les modalités prévues à la section 2 du chapitre II du titre II du présent livre sont inférieures à un montant déterminé par le produit d'un coefficient, fixé par arrêté, et des mensualités déclarées, les ressources sont réputées égales à ce montant, sauf lorsque les intéressés se trouvent dans l'une des situations mentionnées aux articles R. 822-11 et R. 822-13 à R. 822-17.</w:t>
      </w:r>
      <w:r>
        <w:rPr>
          <w:rFonts w:ascii="Times New Roman" w:hAnsi="Times New Roman" w:cs="Times New Roman"/>
          <w:sz w:val="24"/>
          <w:szCs w:val="24"/>
        </w:rPr>
        <w:t> »</w:t>
      </w:r>
    </w:p>
    <w:p w14:paraId="2D1D1F3F" w14:textId="514472E7" w:rsidR="00684373" w:rsidRDefault="00684373" w:rsidP="003828AD">
      <w:pPr>
        <w:jc w:val="both"/>
        <w:rPr>
          <w:rFonts w:ascii="Times New Roman" w:hAnsi="Times New Roman" w:cs="Times New Roman"/>
          <w:sz w:val="24"/>
          <w:szCs w:val="24"/>
        </w:rPr>
      </w:pPr>
    </w:p>
    <w:p w14:paraId="3DB3B9D6" w14:textId="77777777" w:rsidR="008D372F" w:rsidRDefault="00684373"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Les ressources auxquelles il est fait référence ici prennent-elles en compte les ressources des personnes à charge autre que le bénéficiaire et son conjoint ?</w:t>
      </w:r>
    </w:p>
    <w:p w14:paraId="4C305B03" w14:textId="77777777" w:rsidR="008D372F" w:rsidRDefault="008D372F" w:rsidP="003828AD">
      <w:pPr>
        <w:jc w:val="both"/>
        <w:rPr>
          <w:rFonts w:ascii="Times New Roman" w:hAnsi="Times New Roman" w:cs="Times New Roman"/>
          <w:sz w:val="24"/>
          <w:szCs w:val="24"/>
        </w:rPr>
      </w:pPr>
    </w:p>
    <w:p w14:paraId="06FFB0E5" w14:textId="77777777" w:rsidR="008D372F" w:rsidRDefault="008D372F" w:rsidP="003828AD">
      <w:pPr>
        <w:jc w:val="both"/>
        <w:rPr>
          <w:rFonts w:ascii="Times New Roman" w:hAnsi="Times New Roman" w:cs="Times New Roman"/>
          <w:sz w:val="24"/>
          <w:szCs w:val="24"/>
        </w:rPr>
      </w:pPr>
      <w:r>
        <w:rPr>
          <w:rFonts w:ascii="Times New Roman" w:hAnsi="Times New Roman" w:cs="Times New Roman"/>
          <w:sz w:val="24"/>
          <w:szCs w:val="24"/>
          <w:u w:val="single"/>
        </w:rPr>
        <w:t>Article R842-5 :</w:t>
      </w:r>
      <w:r>
        <w:rPr>
          <w:rFonts w:ascii="Times New Roman" w:hAnsi="Times New Roman" w:cs="Times New Roman"/>
          <w:sz w:val="24"/>
          <w:szCs w:val="24"/>
        </w:rPr>
        <w:t xml:space="preserve"> </w:t>
      </w:r>
    </w:p>
    <w:p w14:paraId="07E068AE" w14:textId="77777777" w:rsidR="008D372F" w:rsidRDefault="008D372F" w:rsidP="003828AD">
      <w:pPr>
        <w:jc w:val="both"/>
        <w:rPr>
          <w:rFonts w:ascii="Times New Roman" w:hAnsi="Times New Roman" w:cs="Times New Roman"/>
          <w:sz w:val="24"/>
          <w:szCs w:val="24"/>
        </w:rPr>
      </w:pPr>
    </w:p>
    <w:p w14:paraId="710335F3" w14:textId="7A69388E" w:rsidR="00684373" w:rsidRDefault="008D372F" w:rsidP="003828AD">
      <w:pPr>
        <w:jc w:val="both"/>
        <w:rPr>
          <w:rFonts w:ascii="Times New Roman" w:hAnsi="Times New Roman" w:cs="Times New Roman"/>
          <w:sz w:val="24"/>
          <w:szCs w:val="24"/>
        </w:rPr>
      </w:pPr>
      <w:r>
        <w:rPr>
          <w:rFonts w:ascii="Times New Roman" w:hAnsi="Times New Roman" w:cs="Times New Roman"/>
          <w:sz w:val="24"/>
          <w:szCs w:val="24"/>
        </w:rPr>
        <w:t>« </w:t>
      </w:r>
      <w:r w:rsidR="00684373">
        <w:rPr>
          <w:rFonts w:ascii="Times New Roman" w:hAnsi="Times New Roman" w:cs="Times New Roman"/>
          <w:sz w:val="24"/>
          <w:szCs w:val="24"/>
        </w:rPr>
        <w:t xml:space="preserve"> </w:t>
      </w:r>
      <w:r w:rsidRPr="008D372F">
        <w:rPr>
          <w:rFonts w:ascii="Times New Roman" w:hAnsi="Times New Roman" w:cs="Times New Roman"/>
          <w:i/>
          <w:iCs/>
          <w:sz w:val="24"/>
          <w:szCs w:val="24"/>
        </w:rPr>
        <w:t>L'allocation de logement est accordée au titre de la résidence principale :</w:t>
      </w:r>
      <w:r w:rsidRPr="008D372F">
        <w:rPr>
          <w:rFonts w:ascii="Times New Roman" w:hAnsi="Times New Roman" w:cs="Times New Roman"/>
          <w:i/>
          <w:iCs/>
          <w:sz w:val="24"/>
          <w:szCs w:val="24"/>
        </w:rPr>
        <w:br/>
        <w:t xml:space="preserve">1° Aux personnes propriétaires du logement pendant la période au cours de laquelle elles se libèrent de la dette contractée pour accéder à la propriété de ce logement et, </w:t>
      </w:r>
      <w:r w:rsidRPr="008D372F">
        <w:rPr>
          <w:rFonts w:ascii="Times New Roman" w:hAnsi="Times New Roman" w:cs="Times New Roman"/>
          <w:b/>
          <w:bCs/>
          <w:i/>
          <w:iCs/>
          <w:sz w:val="24"/>
          <w:szCs w:val="24"/>
        </w:rPr>
        <w:t>le cas échéant, de celle contractée en même temps pour réaliser des travaux permettant de remplir les conditions de décence</w:t>
      </w:r>
      <w:r w:rsidRPr="008D372F">
        <w:rPr>
          <w:rFonts w:ascii="Times New Roman" w:hAnsi="Times New Roman" w:cs="Times New Roman"/>
          <w:sz w:val="24"/>
          <w:szCs w:val="24"/>
        </w:rPr>
        <w:t xml:space="preserve"> ;</w:t>
      </w:r>
      <w:r>
        <w:rPr>
          <w:rFonts w:ascii="Times New Roman" w:hAnsi="Times New Roman" w:cs="Times New Roman"/>
          <w:sz w:val="24"/>
          <w:szCs w:val="24"/>
        </w:rPr>
        <w:t xml:space="preserve"> [...] »</w:t>
      </w:r>
    </w:p>
    <w:p w14:paraId="31AB9500" w14:textId="1E7FECC1" w:rsidR="008D372F" w:rsidRDefault="008D372F" w:rsidP="003828AD">
      <w:pPr>
        <w:jc w:val="both"/>
        <w:rPr>
          <w:rFonts w:ascii="Times New Roman" w:hAnsi="Times New Roman" w:cs="Times New Roman"/>
          <w:sz w:val="24"/>
          <w:szCs w:val="24"/>
        </w:rPr>
      </w:pPr>
    </w:p>
    <w:p w14:paraId="0E43B666" w14:textId="77777777" w:rsidR="004D01F3" w:rsidRDefault="008D372F"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Quel est le sens de la précision apportée par la partie en gras pour cet article ? A quel cas cela renvoi-t-il ? </w:t>
      </w:r>
    </w:p>
    <w:p w14:paraId="2CAA7418" w14:textId="61731FD2" w:rsidR="008D372F" w:rsidRDefault="004D01F3"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L</w:t>
      </w:r>
      <w:r w:rsidR="008D372F">
        <w:rPr>
          <w:rFonts w:ascii="Times New Roman" w:hAnsi="Times New Roman" w:cs="Times New Roman"/>
          <w:sz w:val="24"/>
          <w:szCs w:val="24"/>
        </w:rPr>
        <w:t>orsqu’il y a deux prêts différents, un pour le logement et un pour les travaux</w:t>
      </w:r>
      <w:r>
        <w:rPr>
          <w:rFonts w:ascii="Times New Roman" w:hAnsi="Times New Roman" w:cs="Times New Roman"/>
          <w:sz w:val="24"/>
          <w:szCs w:val="24"/>
        </w:rPr>
        <w:t xml:space="preserve"> et que</w:t>
      </w:r>
      <w:r w:rsidR="008D372F">
        <w:rPr>
          <w:rFonts w:ascii="Times New Roman" w:hAnsi="Times New Roman" w:cs="Times New Roman"/>
          <w:sz w:val="24"/>
          <w:szCs w:val="24"/>
        </w:rPr>
        <w:t xml:space="preserve"> les périodes de remboursement se chevauchent</w:t>
      </w:r>
      <w:r>
        <w:rPr>
          <w:rFonts w:ascii="Times New Roman" w:hAnsi="Times New Roman" w:cs="Times New Roman"/>
          <w:sz w:val="24"/>
          <w:szCs w:val="24"/>
        </w:rPr>
        <w:t xml:space="preserve"> et ne sont pas égales, d</w:t>
      </w:r>
      <w:r w:rsidRPr="004D01F3">
        <w:rPr>
          <w:rFonts w:ascii="Times New Roman" w:hAnsi="Times New Roman" w:cs="Times New Roman"/>
          <w:sz w:val="24"/>
          <w:szCs w:val="24"/>
        </w:rPr>
        <w:t>oit-on comprendre que</w:t>
      </w:r>
      <w:r>
        <w:rPr>
          <w:rFonts w:ascii="Times New Roman" w:hAnsi="Times New Roman" w:cs="Times New Roman"/>
          <w:sz w:val="24"/>
          <w:szCs w:val="24"/>
        </w:rPr>
        <w:t xml:space="preserve"> les deux prêts doivent commencer en même temps pour que la disposition s’applique ? </w:t>
      </w:r>
    </w:p>
    <w:p w14:paraId="1898B905" w14:textId="35FEC6B7" w:rsidR="00BB3281" w:rsidRDefault="00BB3281" w:rsidP="003828AD">
      <w:pPr>
        <w:jc w:val="both"/>
        <w:rPr>
          <w:rFonts w:ascii="Times New Roman" w:hAnsi="Times New Roman" w:cs="Times New Roman"/>
          <w:sz w:val="24"/>
          <w:szCs w:val="24"/>
        </w:rPr>
      </w:pPr>
    </w:p>
    <w:p w14:paraId="0A1A226A" w14:textId="5C5845C1" w:rsidR="00BB3281" w:rsidRPr="00BB3281" w:rsidRDefault="00BB3281" w:rsidP="003828AD">
      <w:pPr>
        <w:jc w:val="both"/>
        <w:rPr>
          <w:rFonts w:ascii="Times New Roman" w:hAnsi="Times New Roman" w:cs="Times New Roman"/>
          <w:sz w:val="24"/>
          <w:szCs w:val="24"/>
          <w:u w:val="single"/>
        </w:rPr>
      </w:pPr>
      <w:r w:rsidRPr="00BB3281">
        <w:rPr>
          <w:rFonts w:ascii="Times New Roman" w:hAnsi="Times New Roman" w:cs="Times New Roman"/>
          <w:sz w:val="24"/>
          <w:szCs w:val="24"/>
          <w:u w:val="single"/>
        </w:rPr>
        <w:t xml:space="preserve">Article D842-15 : </w:t>
      </w:r>
    </w:p>
    <w:p w14:paraId="4178E0C5" w14:textId="5553AF5F" w:rsidR="00BB3281" w:rsidRDefault="00BB3281" w:rsidP="003828AD">
      <w:pPr>
        <w:jc w:val="both"/>
        <w:rPr>
          <w:rFonts w:ascii="Times New Roman" w:hAnsi="Times New Roman" w:cs="Times New Roman"/>
          <w:sz w:val="24"/>
          <w:szCs w:val="24"/>
        </w:rPr>
      </w:pPr>
    </w:p>
    <w:p w14:paraId="472C69D4" w14:textId="177219E3" w:rsidR="00BB3281" w:rsidRDefault="00BB3281" w:rsidP="00BB3281">
      <w:pPr>
        <w:jc w:val="both"/>
        <w:rPr>
          <w:rFonts w:ascii="Times New Roman" w:hAnsi="Times New Roman" w:cs="Times New Roman"/>
          <w:sz w:val="24"/>
          <w:szCs w:val="24"/>
        </w:rPr>
      </w:pPr>
      <w:r>
        <w:rPr>
          <w:rFonts w:ascii="Times New Roman" w:hAnsi="Times New Roman" w:cs="Times New Roman"/>
          <w:sz w:val="24"/>
          <w:szCs w:val="24"/>
        </w:rPr>
        <w:t>« </w:t>
      </w:r>
      <w:r w:rsidRPr="00BB3281">
        <w:rPr>
          <w:rFonts w:ascii="Times New Roman" w:hAnsi="Times New Roman" w:cs="Times New Roman"/>
          <w:i/>
          <w:iCs/>
          <w:sz w:val="24"/>
          <w:szCs w:val="24"/>
        </w:rPr>
        <w:t>Si le montant obtenu par application des dispositions des alinéas précédents est</w:t>
      </w:r>
      <w:r w:rsidRPr="00BB3281">
        <w:rPr>
          <w:rFonts w:ascii="Times New Roman" w:hAnsi="Times New Roman" w:cs="Times New Roman"/>
          <w:i/>
          <w:iCs/>
          <w:sz w:val="24"/>
          <w:szCs w:val="24"/>
        </w:rPr>
        <w:t xml:space="preserve"> </w:t>
      </w:r>
      <w:r w:rsidRPr="00BB3281">
        <w:rPr>
          <w:rFonts w:ascii="Times New Roman" w:hAnsi="Times New Roman" w:cs="Times New Roman"/>
          <w:i/>
          <w:iCs/>
          <w:sz w:val="24"/>
          <w:szCs w:val="24"/>
        </w:rPr>
        <w:t xml:space="preserve">supérieur au </w:t>
      </w:r>
      <w:r w:rsidRPr="00BB3281">
        <w:rPr>
          <w:rFonts w:ascii="Times New Roman" w:hAnsi="Times New Roman" w:cs="Times New Roman"/>
          <w:b/>
          <w:bCs/>
          <w:i/>
          <w:iCs/>
          <w:sz w:val="24"/>
          <w:szCs w:val="24"/>
        </w:rPr>
        <w:t>montant de la redevance supportée par le résident</w:t>
      </w:r>
      <w:r w:rsidRPr="00BB3281">
        <w:rPr>
          <w:rFonts w:ascii="Times New Roman" w:hAnsi="Times New Roman" w:cs="Times New Roman"/>
          <w:i/>
          <w:iCs/>
          <w:sz w:val="24"/>
          <w:szCs w:val="24"/>
        </w:rPr>
        <w:t>, il est rapporté</w:t>
      </w:r>
      <w:r w:rsidRPr="00BB3281">
        <w:rPr>
          <w:rFonts w:ascii="Times New Roman" w:hAnsi="Times New Roman" w:cs="Times New Roman"/>
          <w:i/>
          <w:iCs/>
          <w:sz w:val="24"/>
          <w:szCs w:val="24"/>
        </w:rPr>
        <w:t xml:space="preserve"> </w:t>
      </w:r>
      <w:r w:rsidRPr="00BB3281">
        <w:rPr>
          <w:rFonts w:ascii="Times New Roman" w:hAnsi="Times New Roman" w:cs="Times New Roman"/>
          <w:i/>
          <w:iCs/>
          <w:sz w:val="24"/>
          <w:szCs w:val="24"/>
        </w:rPr>
        <w:t>au montant de cette redevance</w:t>
      </w:r>
      <w:r w:rsidRPr="00BB3281">
        <w:rPr>
          <w:rFonts w:ascii="Times New Roman" w:hAnsi="Times New Roman" w:cs="Times New Roman"/>
          <w:sz w:val="24"/>
          <w:szCs w:val="24"/>
        </w:rPr>
        <w:t>.</w:t>
      </w:r>
      <w:r>
        <w:rPr>
          <w:rFonts w:ascii="Times New Roman" w:hAnsi="Times New Roman" w:cs="Times New Roman"/>
          <w:sz w:val="24"/>
          <w:szCs w:val="24"/>
        </w:rPr>
        <w:t> »</w:t>
      </w:r>
    </w:p>
    <w:p w14:paraId="0F57E2BF" w14:textId="39A28597" w:rsidR="00BB3281" w:rsidRDefault="00BB3281" w:rsidP="00BB3281">
      <w:pPr>
        <w:jc w:val="both"/>
        <w:rPr>
          <w:rFonts w:ascii="Times New Roman" w:hAnsi="Times New Roman" w:cs="Times New Roman"/>
          <w:sz w:val="24"/>
          <w:szCs w:val="24"/>
        </w:rPr>
      </w:pPr>
    </w:p>
    <w:p w14:paraId="2AEBC148" w14:textId="3B107098" w:rsidR="00BB3281" w:rsidRPr="00BB3281" w:rsidRDefault="00BB3281" w:rsidP="00BB3281">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A quelle redevance est-il fait référence ici ? </w:t>
      </w:r>
      <w:r w:rsidR="002D2EB3">
        <w:rPr>
          <w:rFonts w:ascii="Times New Roman" w:hAnsi="Times New Roman" w:cs="Times New Roman"/>
          <w:sz w:val="24"/>
          <w:szCs w:val="24"/>
        </w:rPr>
        <w:t>Peut-on considérer qu’il s’agit du loyer payé par le résident ?</w:t>
      </w:r>
      <w:r>
        <w:rPr>
          <w:rFonts w:ascii="Times New Roman" w:hAnsi="Times New Roman" w:cs="Times New Roman"/>
          <w:sz w:val="24"/>
          <w:szCs w:val="24"/>
        </w:rPr>
        <w:t xml:space="preserve"> </w:t>
      </w:r>
    </w:p>
    <w:p w14:paraId="067BA622" w14:textId="0DE4C222" w:rsidR="00BB3281" w:rsidRDefault="00BB3281" w:rsidP="003828AD">
      <w:pPr>
        <w:jc w:val="both"/>
        <w:rPr>
          <w:rFonts w:ascii="Times New Roman" w:hAnsi="Times New Roman" w:cs="Times New Roman"/>
          <w:sz w:val="24"/>
          <w:szCs w:val="24"/>
        </w:rPr>
      </w:pPr>
    </w:p>
    <w:p w14:paraId="732185B5" w14:textId="00514FA6" w:rsidR="00684373" w:rsidRDefault="00684373" w:rsidP="003828AD">
      <w:pPr>
        <w:pBdr>
          <w:bottom w:val="single" w:sz="6" w:space="1" w:color="auto"/>
        </w:pBdr>
        <w:jc w:val="both"/>
        <w:rPr>
          <w:rFonts w:ascii="Times New Roman" w:hAnsi="Times New Roman" w:cs="Times New Roman"/>
          <w:sz w:val="24"/>
          <w:szCs w:val="24"/>
        </w:rPr>
      </w:pPr>
    </w:p>
    <w:p w14:paraId="312D47FE" w14:textId="312FA12F" w:rsidR="00EE6636" w:rsidRDefault="00EE6636" w:rsidP="003828AD">
      <w:pPr>
        <w:jc w:val="both"/>
        <w:rPr>
          <w:rFonts w:ascii="Times New Roman" w:hAnsi="Times New Roman" w:cs="Times New Roman"/>
          <w:sz w:val="24"/>
          <w:szCs w:val="24"/>
        </w:rPr>
      </w:pPr>
    </w:p>
    <w:p w14:paraId="0B474D9C" w14:textId="0565DB56" w:rsidR="00EE6636" w:rsidRPr="00EE6636" w:rsidRDefault="00EE6636" w:rsidP="003828AD">
      <w:pPr>
        <w:jc w:val="both"/>
        <w:rPr>
          <w:rFonts w:ascii="Times New Roman" w:hAnsi="Times New Roman" w:cs="Times New Roman"/>
          <w:b/>
          <w:bCs/>
          <w:sz w:val="24"/>
          <w:szCs w:val="24"/>
        </w:rPr>
      </w:pPr>
      <w:r w:rsidRPr="00EE6636">
        <w:rPr>
          <w:rFonts w:ascii="Times New Roman" w:hAnsi="Times New Roman" w:cs="Times New Roman"/>
          <w:b/>
          <w:bCs/>
          <w:sz w:val="24"/>
          <w:szCs w:val="24"/>
        </w:rPr>
        <w:t>Arrêté du 27 septembre 2019 relatif au calcul de</w:t>
      </w:r>
      <w:r w:rsidR="003012EA">
        <w:rPr>
          <w:rFonts w:ascii="Times New Roman" w:hAnsi="Times New Roman" w:cs="Times New Roman"/>
          <w:b/>
          <w:bCs/>
          <w:sz w:val="24"/>
          <w:szCs w:val="24"/>
        </w:rPr>
        <w:t xml:space="preserve">s </w:t>
      </w:r>
      <w:r w:rsidRPr="00EE6636">
        <w:rPr>
          <w:rFonts w:ascii="Times New Roman" w:hAnsi="Times New Roman" w:cs="Times New Roman"/>
          <w:b/>
          <w:bCs/>
          <w:sz w:val="24"/>
          <w:szCs w:val="24"/>
        </w:rPr>
        <w:t>aide</w:t>
      </w:r>
      <w:r w:rsidR="003012EA">
        <w:rPr>
          <w:rFonts w:ascii="Times New Roman" w:hAnsi="Times New Roman" w:cs="Times New Roman"/>
          <w:b/>
          <w:bCs/>
          <w:sz w:val="24"/>
          <w:szCs w:val="24"/>
        </w:rPr>
        <w:t>s</w:t>
      </w:r>
      <w:r w:rsidRPr="00EE6636">
        <w:rPr>
          <w:rFonts w:ascii="Times New Roman" w:hAnsi="Times New Roman" w:cs="Times New Roman"/>
          <w:b/>
          <w:bCs/>
          <w:sz w:val="24"/>
          <w:szCs w:val="24"/>
        </w:rPr>
        <w:t xml:space="preserve"> personnelle</w:t>
      </w:r>
      <w:r w:rsidR="003012EA">
        <w:rPr>
          <w:rFonts w:ascii="Times New Roman" w:hAnsi="Times New Roman" w:cs="Times New Roman"/>
          <w:b/>
          <w:bCs/>
          <w:sz w:val="24"/>
          <w:szCs w:val="24"/>
        </w:rPr>
        <w:t>s</w:t>
      </w:r>
      <w:r w:rsidRPr="00EE6636">
        <w:rPr>
          <w:rFonts w:ascii="Times New Roman" w:hAnsi="Times New Roman" w:cs="Times New Roman"/>
          <w:b/>
          <w:bCs/>
          <w:sz w:val="24"/>
          <w:szCs w:val="24"/>
        </w:rPr>
        <w:t xml:space="preserve"> au logement et de la prime de déménagement </w:t>
      </w:r>
    </w:p>
    <w:p w14:paraId="0A74C79C" w14:textId="3D1A69A3" w:rsidR="00EE6636" w:rsidRDefault="00EE6636" w:rsidP="003828AD">
      <w:pPr>
        <w:jc w:val="both"/>
        <w:rPr>
          <w:rFonts w:ascii="Times New Roman" w:hAnsi="Times New Roman" w:cs="Times New Roman"/>
          <w:sz w:val="24"/>
          <w:szCs w:val="24"/>
        </w:rPr>
      </w:pPr>
    </w:p>
    <w:p w14:paraId="3953745F" w14:textId="209A6150" w:rsidR="00EE6636" w:rsidRDefault="00EE6636" w:rsidP="003828AD">
      <w:pPr>
        <w:jc w:val="both"/>
        <w:rPr>
          <w:rFonts w:ascii="Times New Roman" w:hAnsi="Times New Roman" w:cs="Times New Roman"/>
          <w:sz w:val="24"/>
          <w:szCs w:val="24"/>
          <w:u w:val="single"/>
        </w:rPr>
      </w:pPr>
      <w:r w:rsidRPr="00EE6636">
        <w:rPr>
          <w:rFonts w:ascii="Times New Roman" w:hAnsi="Times New Roman" w:cs="Times New Roman"/>
          <w:sz w:val="24"/>
          <w:szCs w:val="24"/>
          <w:u w:val="single"/>
        </w:rPr>
        <w:t xml:space="preserve">Article 14 : </w:t>
      </w:r>
    </w:p>
    <w:p w14:paraId="228ECD52" w14:textId="6649159C" w:rsidR="00EE6636" w:rsidRDefault="00EE6636" w:rsidP="003828AD">
      <w:pPr>
        <w:jc w:val="both"/>
        <w:rPr>
          <w:rFonts w:ascii="Times New Roman" w:hAnsi="Times New Roman" w:cs="Times New Roman"/>
          <w:sz w:val="24"/>
          <w:szCs w:val="24"/>
          <w:u w:val="single"/>
        </w:rPr>
      </w:pPr>
    </w:p>
    <w:p w14:paraId="1CCEFB95" w14:textId="40843DC0" w:rsidR="00EE6636" w:rsidRDefault="00EE6636"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La distinction entre « enfants » et « personnes » est-elle simplement un artefact de rédaction ou s’agit-il d’une véritable différence de calcul ? Dans le cas où il y a 3 enfants et 2 adultes à charge, quelles variables faut-il prendre en compte ? 1,79% ou 2,01% ou la somme des deux ? </w:t>
      </w:r>
    </w:p>
    <w:p w14:paraId="5ED84290" w14:textId="41475CC2" w:rsidR="00EE6636" w:rsidRDefault="00EE6636"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Quid de l’hypothèse où il y a 29 personnes à charge et que le taux devient négatif ? </w:t>
      </w:r>
    </w:p>
    <w:p w14:paraId="69BE50D2" w14:textId="452F7A08" w:rsidR="00AA6DC9" w:rsidRDefault="00AA6DC9" w:rsidP="003828AD">
      <w:pPr>
        <w:jc w:val="both"/>
        <w:rPr>
          <w:rFonts w:ascii="Times New Roman" w:hAnsi="Times New Roman" w:cs="Times New Roman"/>
          <w:sz w:val="24"/>
          <w:szCs w:val="24"/>
        </w:rPr>
      </w:pPr>
    </w:p>
    <w:p w14:paraId="49695468" w14:textId="1AC8B097" w:rsidR="00AA6DC9" w:rsidRDefault="00AA6DC9" w:rsidP="003828AD">
      <w:pPr>
        <w:jc w:val="both"/>
        <w:rPr>
          <w:rFonts w:ascii="Times New Roman" w:hAnsi="Times New Roman" w:cs="Times New Roman"/>
          <w:sz w:val="24"/>
          <w:szCs w:val="24"/>
        </w:rPr>
      </w:pPr>
      <w:r>
        <w:rPr>
          <w:rFonts w:ascii="Times New Roman" w:hAnsi="Times New Roman" w:cs="Times New Roman"/>
          <w:sz w:val="24"/>
          <w:szCs w:val="24"/>
          <w:u w:val="single"/>
        </w:rPr>
        <w:t>Article 18 :</w:t>
      </w:r>
      <w:r>
        <w:rPr>
          <w:rFonts w:ascii="Times New Roman" w:hAnsi="Times New Roman" w:cs="Times New Roman"/>
          <w:sz w:val="24"/>
          <w:szCs w:val="24"/>
        </w:rPr>
        <w:t xml:space="preserve"> </w:t>
      </w:r>
    </w:p>
    <w:p w14:paraId="202B5352" w14:textId="392828B0" w:rsidR="00AA6DC9" w:rsidRDefault="00AA6DC9" w:rsidP="003828AD">
      <w:pPr>
        <w:jc w:val="both"/>
        <w:rPr>
          <w:rFonts w:ascii="Times New Roman" w:hAnsi="Times New Roman" w:cs="Times New Roman"/>
          <w:sz w:val="24"/>
          <w:szCs w:val="24"/>
        </w:rPr>
      </w:pPr>
    </w:p>
    <w:p w14:paraId="54ADAEBE" w14:textId="634F81CF" w:rsidR="00AA6DC9" w:rsidRDefault="00AA6DC9" w:rsidP="003828AD">
      <w:pPr>
        <w:jc w:val="both"/>
        <w:rPr>
          <w:rFonts w:ascii="Times New Roman" w:hAnsi="Times New Roman" w:cs="Times New Roman"/>
          <w:sz w:val="24"/>
          <w:szCs w:val="24"/>
        </w:rPr>
      </w:pPr>
      <w:r>
        <w:rPr>
          <w:rFonts w:ascii="Times New Roman" w:hAnsi="Times New Roman" w:cs="Times New Roman"/>
          <w:sz w:val="24"/>
          <w:szCs w:val="24"/>
        </w:rPr>
        <w:t xml:space="preserve">Les deux tableaux du point n°13 comportent des données erronées. </w:t>
      </w:r>
    </w:p>
    <w:p w14:paraId="26F4C6EE" w14:textId="1944ACEB" w:rsidR="000623D8" w:rsidRPr="000623D8" w:rsidRDefault="000623D8" w:rsidP="000623D8">
      <w:pPr>
        <w:jc w:val="both"/>
        <w:rPr>
          <w:rFonts w:ascii="Times New Roman" w:hAnsi="Times New Roman" w:cs="Times New Roman"/>
          <w:i/>
          <w:iCs/>
          <w:sz w:val="24"/>
          <w:szCs w:val="24"/>
        </w:rPr>
      </w:pPr>
      <w:r>
        <w:rPr>
          <w:rFonts w:ascii="Times New Roman" w:hAnsi="Times New Roman" w:cs="Times New Roman"/>
          <w:sz w:val="24"/>
          <w:szCs w:val="24"/>
        </w:rPr>
        <w:t>« </w:t>
      </w:r>
      <w:r w:rsidRPr="000623D8">
        <w:rPr>
          <w:rFonts w:ascii="Times New Roman" w:hAnsi="Times New Roman" w:cs="Times New Roman"/>
          <w:i/>
          <w:iCs/>
          <w:sz w:val="24"/>
          <w:szCs w:val="24"/>
        </w:rPr>
        <w:t>13° Lorsque la date de signature du contrat de prêt est intervenue postérieurement au 31 décembre 2011 :</w:t>
      </w:r>
      <w:r w:rsidRPr="000623D8">
        <w:rPr>
          <w:rFonts w:ascii="Times New Roman" w:hAnsi="Times New Roman" w:cs="Times New Roman"/>
          <w:i/>
          <w:iCs/>
          <w:sz w:val="24"/>
          <w:szCs w:val="24"/>
        </w:rPr>
        <w:br/>
        <w:t>a) Logements neufs construits ou acquis par l'accédant à la propriété (en euros)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06"/>
        <w:gridCol w:w="960"/>
        <w:gridCol w:w="1049"/>
        <w:gridCol w:w="1141"/>
      </w:tblGrid>
      <w:tr w:rsidR="000623D8" w:rsidRPr="000623D8" w14:paraId="0F7A79AA" w14:textId="77777777" w:rsidTr="000623D8">
        <w:trPr>
          <w:jc w:val="center"/>
        </w:trPr>
        <w:tc>
          <w:tcPr>
            <w:tcW w:w="0" w:type="auto"/>
            <w:tcBorders>
              <w:top w:val="outset" w:sz="6" w:space="0" w:color="auto"/>
              <w:left w:val="outset" w:sz="6" w:space="0" w:color="auto"/>
              <w:bottom w:val="single" w:sz="6" w:space="0" w:color="D8D8D8"/>
              <w:right w:val="single" w:sz="6" w:space="0" w:color="D8D8D8"/>
            </w:tcBorders>
            <w:shd w:val="clear" w:color="auto" w:fill="5C75A2"/>
            <w:tcMar>
              <w:top w:w="75" w:type="dxa"/>
              <w:left w:w="75" w:type="dxa"/>
              <w:bottom w:w="75" w:type="dxa"/>
              <w:right w:w="75" w:type="dxa"/>
            </w:tcMar>
            <w:vAlign w:val="center"/>
            <w:hideMark/>
          </w:tcPr>
          <w:p w14:paraId="17806ACF"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DÉSIGNATION</w:t>
            </w:r>
          </w:p>
        </w:tc>
        <w:tc>
          <w:tcPr>
            <w:tcW w:w="0" w:type="auto"/>
            <w:tcBorders>
              <w:top w:val="outset" w:sz="6" w:space="0" w:color="auto"/>
              <w:left w:val="outset" w:sz="6" w:space="0" w:color="auto"/>
              <w:bottom w:val="single" w:sz="6" w:space="0" w:color="D8D8D8"/>
              <w:right w:val="single" w:sz="6" w:space="0" w:color="D8D8D8"/>
            </w:tcBorders>
            <w:shd w:val="clear" w:color="auto" w:fill="5C75A2"/>
            <w:tcMar>
              <w:top w:w="75" w:type="dxa"/>
              <w:left w:w="75" w:type="dxa"/>
              <w:bottom w:w="75" w:type="dxa"/>
              <w:right w:w="75" w:type="dxa"/>
            </w:tcMar>
            <w:vAlign w:val="center"/>
            <w:hideMark/>
          </w:tcPr>
          <w:p w14:paraId="348E5294"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ZONE I</w:t>
            </w:r>
          </w:p>
        </w:tc>
        <w:tc>
          <w:tcPr>
            <w:tcW w:w="0" w:type="auto"/>
            <w:tcBorders>
              <w:top w:val="outset" w:sz="6" w:space="0" w:color="auto"/>
              <w:left w:val="outset" w:sz="6" w:space="0" w:color="auto"/>
              <w:bottom w:val="single" w:sz="6" w:space="0" w:color="D8D8D8"/>
              <w:right w:val="single" w:sz="6" w:space="0" w:color="D8D8D8"/>
            </w:tcBorders>
            <w:shd w:val="clear" w:color="auto" w:fill="5C75A2"/>
            <w:tcMar>
              <w:top w:w="75" w:type="dxa"/>
              <w:left w:w="75" w:type="dxa"/>
              <w:bottom w:w="75" w:type="dxa"/>
              <w:right w:w="75" w:type="dxa"/>
            </w:tcMar>
            <w:vAlign w:val="center"/>
            <w:hideMark/>
          </w:tcPr>
          <w:p w14:paraId="5302C744"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ZONE II</w:t>
            </w:r>
          </w:p>
        </w:tc>
        <w:tc>
          <w:tcPr>
            <w:tcW w:w="0" w:type="auto"/>
            <w:tcBorders>
              <w:top w:val="outset" w:sz="6" w:space="0" w:color="auto"/>
              <w:left w:val="outset" w:sz="6" w:space="0" w:color="auto"/>
              <w:bottom w:val="single" w:sz="6" w:space="0" w:color="D8D8D8"/>
              <w:right w:val="single" w:sz="6" w:space="0" w:color="D8D8D8"/>
            </w:tcBorders>
            <w:shd w:val="clear" w:color="auto" w:fill="5C75A2"/>
            <w:tcMar>
              <w:top w:w="75" w:type="dxa"/>
              <w:left w:w="75" w:type="dxa"/>
              <w:bottom w:w="75" w:type="dxa"/>
              <w:right w:w="75" w:type="dxa"/>
            </w:tcMar>
            <w:vAlign w:val="center"/>
            <w:hideMark/>
          </w:tcPr>
          <w:p w14:paraId="2CA34AD4"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ZONE III</w:t>
            </w:r>
          </w:p>
        </w:tc>
      </w:tr>
      <w:tr w:rsidR="000623D8" w:rsidRPr="000623D8" w14:paraId="31E6FCBC" w14:textId="77777777" w:rsidTr="000623D8">
        <w:trPr>
          <w:jc w:val="center"/>
        </w:trPr>
        <w:tc>
          <w:tcPr>
            <w:tcW w:w="0" w:type="auto"/>
            <w:tcBorders>
              <w:top w:val="outset" w:sz="6" w:space="0" w:color="auto"/>
              <w:left w:val="nil"/>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689A2FA5"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Bénéficiaire isolé</w:t>
            </w:r>
          </w:p>
        </w:tc>
        <w:tc>
          <w:tcPr>
            <w:tcW w:w="0" w:type="auto"/>
            <w:tcBorders>
              <w:top w:val="outset" w:sz="6" w:space="0" w:color="auto"/>
              <w:left w:val="outset" w:sz="6" w:space="0" w:color="auto"/>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7E22B251"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358,55</w:t>
            </w:r>
          </w:p>
        </w:tc>
        <w:tc>
          <w:tcPr>
            <w:tcW w:w="0" w:type="auto"/>
            <w:tcBorders>
              <w:top w:val="outset" w:sz="6" w:space="0" w:color="auto"/>
              <w:left w:val="outset" w:sz="6" w:space="0" w:color="auto"/>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141FC46A"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319,98</w:t>
            </w:r>
          </w:p>
        </w:tc>
        <w:tc>
          <w:tcPr>
            <w:tcW w:w="0" w:type="auto"/>
            <w:tcBorders>
              <w:top w:val="outset" w:sz="6" w:space="0" w:color="auto"/>
              <w:left w:val="outset" w:sz="6" w:space="0" w:color="auto"/>
              <w:bottom w:val="single" w:sz="6" w:space="0" w:color="D8D8D8"/>
              <w:right w:val="nil"/>
            </w:tcBorders>
            <w:shd w:val="clear" w:color="auto" w:fill="EEEEEE"/>
            <w:tcMar>
              <w:top w:w="150" w:type="dxa"/>
              <w:left w:w="150" w:type="dxa"/>
              <w:bottom w:w="150" w:type="dxa"/>
              <w:right w:w="150" w:type="dxa"/>
            </w:tcMar>
            <w:vAlign w:val="center"/>
            <w:hideMark/>
          </w:tcPr>
          <w:p w14:paraId="21BEDB12"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298,72</w:t>
            </w:r>
          </w:p>
        </w:tc>
      </w:tr>
      <w:tr w:rsidR="000623D8" w:rsidRPr="000623D8" w14:paraId="59F8A512" w14:textId="77777777" w:rsidTr="000623D8">
        <w:trPr>
          <w:jc w:val="center"/>
        </w:trPr>
        <w:tc>
          <w:tcPr>
            <w:tcW w:w="0" w:type="auto"/>
            <w:tcBorders>
              <w:top w:val="outset" w:sz="6" w:space="0" w:color="auto"/>
              <w:left w:val="nil"/>
              <w:bottom w:val="single" w:sz="6" w:space="0" w:color="D8D8D8"/>
              <w:right w:val="single" w:sz="6" w:space="0" w:color="D8D8D8"/>
            </w:tcBorders>
            <w:shd w:val="clear" w:color="auto" w:fill="F5F5F5"/>
            <w:tcMar>
              <w:top w:w="150" w:type="dxa"/>
              <w:left w:w="150" w:type="dxa"/>
              <w:bottom w:w="150" w:type="dxa"/>
              <w:right w:w="150" w:type="dxa"/>
            </w:tcMar>
            <w:vAlign w:val="center"/>
            <w:hideMark/>
          </w:tcPr>
          <w:p w14:paraId="057A7ECF"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Couple sans personne à charge</w:t>
            </w:r>
          </w:p>
        </w:tc>
        <w:tc>
          <w:tcPr>
            <w:tcW w:w="0" w:type="auto"/>
            <w:tcBorders>
              <w:top w:val="outset" w:sz="6" w:space="0" w:color="auto"/>
              <w:left w:val="outset" w:sz="6" w:space="0" w:color="auto"/>
              <w:bottom w:val="single" w:sz="6" w:space="0" w:color="D8D8D8"/>
              <w:right w:val="single" w:sz="6" w:space="0" w:color="D8D8D8"/>
            </w:tcBorders>
            <w:shd w:val="clear" w:color="auto" w:fill="F5F5F5"/>
            <w:tcMar>
              <w:top w:w="150" w:type="dxa"/>
              <w:left w:w="150" w:type="dxa"/>
              <w:bottom w:w="150" w:type="dxa"/>
              <w:right w:w="150" w:type="dxa"/>
            </w:tcMar>
            <w:vAlign w:val="center"/>
            <w:hideMark/>
          </w:tcPr>
          <w:p w14:paraId="475F7BC1"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432,55</w:t>
            </w:r>
          </w:p>
        </w:tc>
        <w:tc>
          <w:tcPr>
            <w:tcW w:w="0" w:type="auto"/>
            <w:tcBorders>
              <w:top w:val="outset" w:sz="6" w:space="0" w:color="auto"/>
              <w:left w:val="outset" w:sz="6" w:space="0" w:color="auto"/>
              <w:bottom w:val="single" w:sz="6" w:space="0" w:color="D8D8D8"/>
              <w:right w:val="single" w:sz="6" w:space="0" w:color="D8D8D8"/>
            </w:tcBorders>
            <w:shd w:val="clear" w:color="auto" w:fill="F5F5F5"/>
            <w:tcMar>
              <w:top w:w="150" w:type="dxa"/>
              <w:left w:w="150" w:type="dxa"/>
              <w:bottom w:w="150" w:type="dxa"/>
              <w:right w:w="150" w:type="dxa"/>
            </w:tcMar>
            <w:vAlign w:val="center"/>
            <w:hideMark/>
          </w:tcPr>
          <w:p w14:paraId="351B6990"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385,12</w:t>
            </w:r>
          </w:p>
        </w:tc>
        <w:tc>
          <w:tcPr>
            <w:tcW w:w="0" w:type="auto"/>
            <w:tcBorders>
              <w:top w:val="outset" w:sz="6" w:space="0" w:color="auto"/>
              <w:left w:val="outset" w:sz="6" w:space="0" w:color="auto"/>
              <w:bottom w:val="single" w:sz="6" w:space="0" w:color="D8D8D8"/>
              <w:right w:val="nil"/>
            </w:tcBorders>
            <w:shd w:val="clear" w:color="auto" w:fill="F5F5F5"/>
            <w:tcMar>
              <w:top w:w="150" w:type="dxa"/>
              <w:left w:w="150" w:type="dxa"/>
              <w:bottom w:w="150" w:type="dxa"/>
              <w:right w:w="150" w:type="dxa"/>
            </w:tcMar>
            <w:vAlign w:val="center"/>
            <w:hideMark/>
          </w:tcPr>
          <w:p w14:paraId="77AD99F8"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358,19</w:t>
            </w:r>
          </w:p>
        </w:tc>
      </w:tr>
      <w:tr w:rsidR="000623D8" w:rsidRPr="000623D8" w14:paraId="319A3C7B" w14:textId="77777777" w:rsidTr="000623D8">
        <w:trPr>
          <w:jc w:val="center"/>
        </w:trPr>
        <w:tc>
          <w:tcPr>
            <w:tcW w:w="0" w:type="auto"/>
            <w:tcBorders>
              <w:top w:val="outset" w:sz="6" w:space="0" w:color="auto"/>
              <w:left w:val="nil"/>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32E1859F"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Bénéficiaire isolé ou couple ayant une personne à charge</w:t>
            </w:r>
          </w:p>
        </w:tc>
        <w:tc>
          <w:tcPr>
            <w:tcW w:w="0" w:type="auto"/>
            <w:tcBorders>
              <w:top w:val="outset" w:sz="6" w:space="0" w:color="auto"/>
              <w:left w:val="outset" w:sz="6" w:space="0" w:color="auto"/>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10CFF5B0"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506,55</w:t>
            </w:r>
          </w:p>
        </w:tc>
        <w:tc>
          <w:tcPr>
            <w:tcW w:w="0" w:type="auto"/>
            <w:tcBorders>
              <w:top w:val="outset" w:sz="6" w:space="0" w:color="auto"/>
              <w:left w:val="outset" w:sz="6" w:space="0" w:color="auto"/>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15111B03"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450,29</w:t>
            </w:r>
          </w:p>
        </w:tc>
        <w:tc>
          <w:tcPr>
            <w:tcW w:w="0" w:type="auto"/>
            <w:tcBorders>
              <w:top w:val="outset" w:sz="6" w:space="0" w:color="auto"/>
              <w:left w:val="outset" w:sz="6" w:space="0" w:color="auto"/>
              <w:bottom w:val="single" w:sz="6" w:space="0" w:color="D8D8D8"/>
              <w:right w:val="nil"/>
            </w:tcBorders>
            <w:shd w:val="clear" w:color="auto" w:fill="EEEEEE"/>
            <w:tcMar>
              <w:top w:w="150" w:type="dxa"/>
              <w:left w:w="150" w:type="dxa"/>
              <w:bottom w:w="150" w:type="dxa"/>
              <w:right w:w="150" w:type="dxa"/>
            </w:tcMar>
            <w:vAlign w:val="center"/>
            <w:hideMark/>
          </w:tcPr>
          <w:p w14:paraId="4C45ECCC"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417,67</w:t>
            </w:r>
          </w:p>
        </w:tc>
      </w:tr>
      <w:tr w:rsidR="000623D8" w:rsidRPr="000623D8" w14:paraId="56070155" w14:textId="77777777" w:rsidTr="000623D8">
        <w:trPr>
          <w:jc w:val="center"/>
        </w:trPr>
        <w:tc>
          <w:tcPr>
            <w:tcW w:w="0" w:type="auto"/>
            <w:tcBorders>
              <w:top w:val="outset" w:sz="6" w:space="0" w:color="auto"/>
              <w:left w:val="nil"/>
              <w:bottom w:val="nil"/>
              <w:right w:val="single" w:sz="6" w:space="0" w:color="D8D8D8"/>
            </w:tcBorders>
            <w:shd w:val="clear" w:color="auto" w:fill="F5F5F5"/>
            <w:tcMar>
              <w:top w:w="150" w:type="dxa"/>
              <w:left w:w="150" w:type="dxa"/>
              <w:bottom w:w="150" w:type="dxa"/>
              <w:right w:w="150" w:type="dxa"/>
            </w:tcMar>
            <w:vAlign w:val="center"/>
            <w:hideMark/>
          </w:tcPr>
          <w:p w14:paraId="050F0385"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Par personne supplémentaire à charge</w:t>
            </w:r>
          </w:p>
        </w:tc>
        <w:tc>
          <w:tcPr>
            <w:tcW w:w="0" w:type="auto"/>
            <w:tcBorders>
              <w:top w:val="outset" w:sz="6" w:space="0" w:color="auto"/>
              <w:left w:val="outset" w:sz="6" w:space="0" w:color="auto"/>
              <w:bottom w:val="nil"/>
              <w:right w:val="single" w:sz="6" w:space="0" w:color="D8D8D8"/>
            </w:tcBorders>
            <w:shd w:val="clear" w:color="auto" w:fill="F5F5F5"/>
            <w:tcMar>
              <w:top w:w="150" w:type="dxa"/>
              <w:left w:w="150" w:type="dxa"/>
              <w:bottom w:w="150" w:type="dxa"/>
              <w:right w:w="150" w:type="dxa"/>
            </w:tcMar>
            <w:vAlign w:val="center"/>
            <w:hideMark/>
          </w:tcPr>
          <w:p w14:paraId="2C06A7B6"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73,99</w:t>
            </w:r>
          </w:p>
        </w:tc>
        <w:tc>
          <w:tcPr>
            <w:tcW w:w="0" w:type="auto"/>
            <w:tcBorders>
              <w:top w:val="outset" w:sz="6" w:space="0" w:color="auto"/>
              <w:left w:val="outset" w:sz="6" w:space="0" w:color="auto"/>
              <w:bottom w:val="nil"/>
              <w:right w:val="single" w:sz="6" w:space="0" w:color="D8D8D8"/>
            </w:tcBorders>
            <w:shd w:val="clear" w:color="auto" w:fill="F5F5F5"/>
            <w:tcMar>
              <w:top w:w="150" w:type="dxa"/>
              <w:left w:w="150" w:type="dxa"/>
              <w:bottom w:w="150" w:type="dxa"/>
              <w:right w:w="150" w:type="dxa"/>
            </w:tcMar>
            <w:vAlign w:val="center"/>
            <w:hideMark/>
          </w:tcPr>
          <w:p w14:paraId="165CB2E8"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65,15</w:t>
            </w:r>
          </w:p>
        </w:tc>
        <w:tc>
          <w:tcPr>
            <w:tcW w:w="0" w:type="auto"/>
            <w:tcBorders>
              <w:top w:val="outset" w:sz="6" w:space="0" w:color="auto"/>
              <w:left w:val="outset" w:sz="6" w:space="0" w:color="auto"/>
              <w:bottom w:val="nil"/>
              <w:right w:val="nil"/>
            </w:tcBorders>
            <w:shd w:val="clear" w:color="auto" w:fill="F5F5F5"/>
            <w:tcMar>
              <w:top w:w="150" w:type="dxa"/>
              <w:left w:w="150" w:type="dxa"/>
              <w:bottom w:w="150" w:type="dxa"/>
              <w:right w:w="150" w:type="dxa"/>
            </w:tcMar>
            <w:vAlign w:val="center"/>
            <w:hideMark/>
          </w:tcPr>
          <w:p w14:paraId="7D483430"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color w:val="FF0000"/>
                <w:sz w:val="24"/>
                <w:szCs w:val="24"/>
              </w:rPr>
              <w:t>459,47</w:t>
            </w:r>
          </w:p>
        </w:tc>
      </w:tr>
    </w:tbl>
    <w:p w14:paraId="65CB094C" w14:textId="77777777" w:rsidR="000623D8" w:rsidRPr="000623D8" w:rsidRDefault="000623D8" w:rsidP="000623D8">
      <w:pPr>
        <w:jc w:val="both"/>
        <w:rPr>
          <w:rFonts w:ascii="Times New Roman" w:hAnsi="Times New Roman" w:cs="Times New Roman"/>
          <w:i/>
          <w:iCs/>
          <w:sz w:val="24"/>
          <w:szCs w:val="24"/>
        </w:rPr>
      </w:pPr>
      <w:r w:rsidRPr="000623D8">
        <w:rPr>
          <w:rFonts w:ascii="Times New Roman" w:hAnsi="Times New Roman" w:cs="Times New Roman"/>
          <w:i/>
          <w:iCs/>
          <w:sz w:val="24"/>
          <w:szCs w:val="24"/>
        </w:rPr>
        <w:t>b) Logements agrandis ou aménagés à partir de locaux non destinés à l'habitation ou logements existants acquis et, le cas échéant, améliorés (en euros)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06"/>
        <w:gridCol w:w="960"/>
        <w:gridCol w:w="1049"/>
        <w:gridCol w:w="1141"/>
      </w:tblGrid>
      <w:tr w:rsidR="000623D8" w:rsidRPr="000623D8" w14:paraId="7755FB66" w14:textId="77777777" w:rsidTr="000623D8">
        <w:trPr>
          <w:jc w:val="center"/>
        </w:trPr>
        <w:tc>
          <w:tcPr>
            <w:tcW w:w="0" w:type="auto"/>
            <w:tcBorders>
              <w:top w:val="outset" w:sz="6" w:space="0" w:color="auto"/>
              <w:left w:val="outset" w:sz="6" w:space="0" w:color="auto"/>
              <w:bottom w:val="single" w:sz="6" w:space="0" w:color="D8D8D8"/>
              <w:right w:val="single" w:sz="6" w:space="0" w:color="D8D8D8"/>
            </w:tcBorders>
            <w:shd w:val="clear" w:color="auto" w:fill="5C75A2"/>
            <w:tcMar>
              <w:top w:w="75" w:type="dxa"/>
              <w:left w:w="75" w:type="dxa"/>
              <w:bottom w:w="75" w:type="dxa"/>
              <w:right w:w="75" w:type="dxa"/>
            </w:tcMar>
            <w:vAlign w:val="center"/>
            <w:hideMark/>
          </w:tcPr>
          <w:p w14:paraId="39308645"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DÉSIGNATION</w:t>
            </w:r>
          </w:p>
        </w:tc>
        <w:tc>
          <w:tcPr>
            <w:tcW w:w="0" w:type="auto"/>
            <w:tcBorders>
              <w:top w:val="outset" w:sz="6" w:space="0" w:color="auto"/>
              <w:left w:val="outset" w:sz="6" w:space="0" w:color="auto"/>
              <w:bottom w:val="single" w:sz="6" w:space="0" w:color="D8D8D8"/>
              <w:right w:val="single" w:sz="6" w:space="0" w:color="D8D8D8"/>
            </w:tcBorders>
            <w:shd w:val="clear" w:color="auto" w:fill="5C75A2"/>
            <w:tcMar>
              <w:top w:w="75" w:type="dxa"/>
              <w:left w:w="75" w:type="dxa"/>
              <w:bottom w:w="75" w:type="dxa"/>
              <w:right w:w="75" w:type="dxa"/>
            </w:tcMar>
            <w:vAlign w:val="center"/>
            <w:hideMark/>
          </w:tcPr>
          <w:p w14:paraId="159BE0DB"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ZONE I</w:t>
            </w:r>
          </w:p>
        </w:tc>
        <w:tc>
          <w:tcPr>
            <w:tcW w:w="0" w:type="auto"/>
            <w:tcBorders>
              <w:top w:val="outset" w:sz="6" w:space="0" w:color="auto"/>
              <w:left w:val="outset" w:sz="6" w:space="0" w:color="auto"/>
              <w:bottom w:val="single" w:sz="6" w:space="0" w:color="D8D8D8"/>
              <w:right w:val="single" w:sz="6" w:space="0" w:color="D8D8D8"/>
            </w:tcBorders>
            <w:shd w:val="clear" w:color="auto" w:fill="5C75A2"/>
            <w:tcMar>
              <w:top w:w="75" w:type="dxa"/>
              <w:left w:w="75" w:type="dxa"/>
              <w:bottom w:w="75" w:type="dxa"/>
              <w:right w:w="75" w:type="dxa"/>
            </w:tcMar>
            <w:vAlign w:val="center"/>
            <w:hideMark/>
          </w:tcPr>
          <w:p w14:paraId="180DF898"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ZONE II</w:t>
            </w:r>
          </w:p>
        </w:tc>
        <w:tc>
          <w:tcPr>
            <w:tcW w:w="0" w:type="auto"/>
            <w:tcBorders>
              <w:top w:val="outset" w:sz="6" w:space="0" w:color="auto"/>
              <w:left w:val="outset" w:sz="6" w:space="0" w:color="auto"/>
              <w:bottom w:val="single" w:sz="6" w:space="0" w:color="D8D8D8"/>
              <w:right w:val="single" w:sz="6" w:space="0" w:color="D8D8D8"/>
            </w:tcBorders>
            <w:shd w:val="clear" w:color="auto" w:fill="5C75A2"/>
            <w:tcMar>
              <w:top w:w="75" w:type="dxa"/>
              <w:left w:w="75" w:type="dxa"/>
              <w:bottom w:w="75" w:type="dxa"/>
              <w:right w:w="75" w:type="dxa"/>
            </w:tcMar>
            <w:vAlign w:val="center"/>
            <w:hideMark/>
          </w:tcPr>
          <w:p w14:paraId="6B069A2F"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ZONE III</w:t>
            </w:r>
          </w:p>
        </w:tc>
      </w:tr>
      <w:tr w:rsidR="000623D8" w:rsidRPr="000623D8" w14:paraId="29CB0A17" w14:textId="77777777" w:rsidTr="000623D8">
        <w:trPr>
          <w:jc w:val="center"/>
        </w:trPr>
        <w:tc>
          <w:tcPr>
            <w:tcW w:w="0" w:type="auto"/>
            <w:tcBorders>
              <w:top w:val="outset" w:sz="6" w:space="0" w:color="auto"/>
              <w:left w:val="nil"/>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389A81D9"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Bénéficiaire isolé</w:t>
            </w:r>
          </w:p>
        </w:tc>
        <w:tc>
          <w:tcPr>
            <w:tcW w:w="0" w:type="auto"/>
            <w:tcBorders>
              <w:top w:val="outset" w:sz="6" w:space="0" w:color="auto"/>
              <w:left w:val="outset" w:sz="6" w:space="0" w:color="auto"/>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1A743D2C"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288,61</w:t>
            </w:r>
          </w:p>
        </w:tc>
        <w:tc>
          <w:tcPr>
            <w:tcW w:w="0" w:type="auto"/>
            <w:tcBorders>
              <w:top w:val="outset" w:sz="6" w:space="0" w:color="auto"/>
              <w:left w:val="outset" w:sz="6" w:space="0" w:color="auto"/>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785B8491"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257,28</w:t>
            </w:r>
          </w:p>
        </w:tc>
        <w:tc>
          <w:tcPr>
            <w:tcW w:w="0" w:type="auto"/>
            <w:tcBorders>
              <w:top w:val="outset" w:sz="6" w:space="0" w:color="auto"/>
              <w:left w:val="outset" w:sz="6" w:space="0" w:color="auto"/>
              <w:bottom w:val="single" w:sz="6" w:space="0" w:color="D8D8D8"/>
              <w:right w:val="nil"/>
            </w:tcBorders>
            <w:shd w:val="clear" w:color="auto" w:fill="EEEEEE"/>
            <w:tcMar>
              <w:top w:w="150" w:type="dxa"/>
              <w:left w:w="150" w:type="dxa"/>
              <w:bottom w:w="150" w:type="dxa"/>
              <w:right w:w="150" w:type="dxa"/>
            </w:tcMar>
            <w:vAlign w:val="center"/>
            <w:hideMark/>
          </w:tcPr>
          <w:p w14:paraId="69F9A8BB"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240,27</w:t>
            </w:r>
          </w:p>
        </w:tc>
      </w:tr>
      <w:tr w:rsidR="000623D8" w:rsidRPr="000623D8" w14:paraId="54380C59" w14:textId="77777777" w:rsidTr="000623D8">
        <w:trPr>
          <w:jc w:val="center"/>
        </w:trPr>
        <w:tc>
          <w:tcPr>
            <w:tcW w:w="0" w:type="auto"/>
            <w:tcBorders>
              <w:top w:val="outset" w:sz="6" w:space="0" w:color="auto"/>
              <w:left w:val="nil"/>
              <w:bottom w:val="single" w:sz="6" w:space="0" w:color="D8D8D8"/>
              <w:right w:val="single" w:sz="6" w:space="0" w:color="D8D8D8"/>
            </w:tcBorders>
            <w:shd w:val="clear" w:color="auto" w:fill="F5F5F5"/>
            <w:tcMar>
              <w:top w:w="150" w:type="dxa"/>
              <w:left w:w="150" w:type="dxa"/>
              <w:bottom w:w="150" w:type="dxa"/>
              <w:right w:w="150" w:type="dxa"/>
            </w:tcMar>
            <w:vAlign w:val="center"/>
            <w:hideMark/>
          </w:tcPr>
          <w:p w14:paraId="6D4EED5E"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Couple sans personne à charge</w:t>
            </w:r>
          </w:p>
        </w:tc>
        <w:tc>
          <w:tcPr>
            <w:tcW w:w="0" w:type="auto"/>
            <w:tcBorders>
              <w:top w:val="outset" w:sz="6" w:space="0" w:color="auto"/>
              <w:left w:val="outset" w:sz="6" w:space="0" w:color="auto"/>
              <w:bottom w:val="single" w:sz="6" w:space="0" w:color="D8D8D8"/>
              <w:right w:val="single" w:sz="6" w:space="0" w:color="D8D8D8"/>
            </w:tcBorders>
            <w:shd w:val="clear" w:color="auto" w:fill="F5F5F5"/>
            <w:tcMar>
              <w:top w:w="150" w:type="dxa"/>
              <w:left w:w="150" w:type="dxa"/>
              <w:bottom w:w="150" w:type="dxa"/>
              <w:right w:w="150" w:type="dxa"/>
            </w:tcMar>
            <w:vAlign w:val="center"/>
            <w:hideMark/>
          </w:tcPr>
          <w:p w14:paraId="07F52743"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348,29</w:t>
            </w:r>
          </w:p>
        </w:tc>
        <w:tc>
          <w:tcPr>
            <w:tcW w:w="0" w:type="auto"/>
            <w:tcBorders>
              <w:top w:val="outset" w:sz="6" w:space="0" w:color="auto"/>
              <w:left w:val="outset" w:sz="6" w:space="0" w:color="auto"/>
              <w:bottom w:val="single" w:sz="6" w:space="0" w:color="D8D8D8"/>
              <w:right w:val="single" w:sz="6" w:space="0" w:color="D8D8D8"/>
            </w:tcBorders>
            <w:shd w:val="clear" w:color="auto" w:fill="F5F5F5"/>
            <w:tcMar>
              <w:top w:w="150" w:type="dxa"/>
              <w:left w:w="150" w:type="dxa"/>
              <w:bottom w:w="150" w:type="dxa"/>
              <w:right w:w="150" w:type="dxa"/>
            </w:tcMar>
            <w:vAlign w:val="center"/>
            <w:hideMark/>
          </w:tcPr>
          <w:p w14:paraId="62EFEF68"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309,87</w:t>
            </w:r>
          </w:p>
        </w:tc>
        <w:tc>
          <w:tcPr>
            <w:tcW w:w="0" w:type="auto"/>
            <w:tcBorders>
              <w:top w:val="outset" w:sz="6" w:space="0" w:color="auto"/>
              <w:left w:val="outset" w:sz="6" w:space="0" w:color="auto"/>
              <w:bottom w:val="single" w:sz="6" w:space="0" w:color="D8D8D8"/>
              <w:right w:val="nil"/>
            </w:tcBorders>
            <w:shd w:val="clear" w:color="auto" w:fill="F5F5F5"/>
            <w:tcMar>
              <w:top w:w="150" w:type="dxa"/>
              <w:left w:w="150" w:type="dxa"/>
              <w:bottom w:w="150" w:type="dxa"/>
              <w:right w:w="150" w:type="dxa"/>
            </w:tcMar>
            <w:vAlign w:val="center"/>
            <w:hideMark/>
          </w:tcPr>
          <w:p w14:paraId="29C06038"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288,24</w:t>
            </w:r>
          </w:p>
        </w:tc>
      </w:tr>
      <w:tr w:rsidR="000623D8" w:rsidRPr="000623D8" w14:paraId="2F5A36C9" w14:textId="77777777" w:rsidTr="000623D8">
        <w:trPr>
          <w:jc w:val="center"/>
        </w:trPr>
        <w:tc>
          <w:tcPr>
            <w:tcW w:w="0" w:type="auto"/>
            <w:tcBorders>
              <w:top w:val="outset" w:sz="6" w:space="0" w:color="auto"/>
              <w:left w:val="nil"/>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053EA188"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Bénéficiaire isolé ou couple ayant une personne à charge</w:t>
            </w:r>
          </w:p>
        </w:tc>
        <w:tc>
          <w:tcPr>
            <w:tcW w:w="0" w:type="auto"/>
            <w:tcBorders>
              <w:top w:val="outset" w:sz="6" w:space="0" w:color="auto"/>
              <w:left w:val="outset" w:sz="6" w:space="0" w:color="auto"/>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4EC780CC"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407,96</w:t>
            </w:r>
          </w:p>
        </w:tc>
        <w:tc>
          <w:tcPr>
            <w:tcW w:w="0" w:type="auto"/>
            <w:tcBorders>
              <w:top w:val="outset" w:sz="6" w:space="0" w:color="auto"/>
              <w:left w:val="outset" w:sz="6" w:space="0" w:color="auto"/>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56A4FA42"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362,44</w:t>
            </w:r>
          </w:p>
        </w:tc>
        <w:tc>
          <w:tcPr>
            <w:tcW w:w="0" w:type="auto"/>
            <w:tcBorders>
              <w:top w:val="outset" w:sz="6" w:space="0" w:color="auto"/>
              <w:left w:val="outset" w:sz="6" w:space="0" w:color="auto"/>
              <w:bottom w:val="single" w:sz="6" w:space="0" w:color="D8D8D8"/>
              <w:right w:val="nil"/>
            </w:tcBorders>
            <w:shd w:val="clear" w:color="auto" w:fill="EEEEEE"/>
            <w:tcMar>
              <w:top w:w="150" w:type="dxa"/>
              <w:left w:w="150" w:type="dxa"/>
              <w:bottom w:w="150" w:type="dxa"/>
              <w:right w:w="150" w:type="dxa"/>
            </w:tcMar>
            <w:vAlign w:val="center"/>
            <w:hideMark/>
          </w:tcPr>
          <w:p w14:paraId="1221A240"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336,23</w:t>
            </w:r>
          </w:p>
        </w:tc>
      </w:tr>
      <w:tr w:rsidR="000623D8" w:rsidRPr="000623D8" w14:paraId="3F7989A7" w14:textId="77777777" w:rsidTr="000623D8">
        <w:trPr>
          <w:jc w:val="center"/>
        </w:trPr>
        <w:tc>
          <w:tcPr>
            <w:tcW w:w="0" w:type="auto"/>
            <w:tcBorders>
              <w:top w:val="outset" w:sz="6" w:space="0" w:color="auto"/>
              <w:left w:val="nil"/>
              <w:bottom w:val="nil"/>
              <w:right w:val="single" w:sz="6" w:space="0" w:color="D8D8D8"/>
            </w:tcBorders>
            <w:shd w:val="clear" w:color="auto" w:fill="F5F5F5"/>
            <w:tcMar>
              <w:top w:w="150" w:type="dxa"/>
              <w:left w:w="150" w:type="dxa"/>
              <w:bottom w:w="150" w:type="dxa"/>
              <w:right w:w="150" w:type="dxa"/>
            </w:tcMar>
            <w:vAlign w:val="center"/>
            <w:hideMark/>
          </w:tcPr>
          <w:p w14:paraId="32F48613"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Par personne supplémentaire à charge</w:t>
            </w:r>
          </w:p>
        </w:tc>
        <w:tc>
          <w:tcPr>
            <w:tcW w:w="0" w:type="auto"/>
            <w:tcBorders>
              <w:top w:val="outset" w:sz="6" w:space="0" w:color="auto"/>
              <w:left w:val="outset" w:sz="6" w:space="0" w:color="auto"/>
              <w:bottom w:val="nil"/>
              <w:right w:val="single" w:sz="6" w:space="0" w:color="D8D8D8"/>
            </w:tcBorders>
            <w:shd w:val="clear" w:color="auto" w:fill="F5F5F5"/>
            <w:tcMar>
              <w:top w:w="150" w:type="dxa"/>
              <w:left w:w="150" w:type="dxa"/>
              <w:bottom w:w="150" w:type="dxa"/>
              <w:right w:w="150" w:type="dxa"/>
            </w:tcMar>
            <w:vAlign w:val="center"/>
            <w:hideMark/>
          </w:tcPr>
          <w:p w14:paraId="69C8648F"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59,68</w:t>
            </w:r>
          </w:p>
        </w:tc>
        <w:tc>
          <w:tcPr>
            <w:tcW w:w="0" w:type="auto"/>
            <w:tcBorders>
              <w:top w:val="outset" w:sz="6" w:space="0" w:color="auto"/>
              <w:left w:val="outset" w:sz="6" w:space="0" w:color="auto"/>
              <w:bottom w:val="nil"/>
              <w:right w:val="single" w:sz="6" w:space="0" w:color="D8D8D8"/>
            </w:tcBorders>
            <w:shd w:val="clear" w:color="auto" w:fill="F5F5F5"/>
            <w:tcMar>
              <w:top w:w="150" w:type="dxa"/>
              <w:left w:w="150" w:type="dxa"/>
              <w:bottom w:w="150" w:type="dxa"/>
              <w:right w:w="150" w:type="dxa"/>
            </w:tcMar>
            <w:vAlign w:val="center"/>
            <w:hideMark/>
          </w:tcPr>
          <w:p w14:paraId="47C6C419"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52,58</w:t>
            </w:r>
          </w:p>
        </w:tc>
        <w:tc>
          <w:tcPr>
            <w:tcW w:w="0" w:type="auto"/>
            <w:tcBorders>
              <w:top w:val="outset" w:sz="6" w:space="0" w:color="auto"/>
              <w:left w:val="outset" w:sz="6" w:space="0" w:color="auto"/>
              <w:bottom w:val="nil"/>
              <w:right w:val="nil"/>
            </w:tcBorders>
            <w:shd w:val="clear" w:color="auto" w:fill="F5F5F5"/>
            <w:tcMar>
              <w:top w:w="150" w:type="dxa"/>
              <w:left w:w="150" w:type="dxa"/>
              <w:bottom w:w="150" w:type="dxa"/>
              <w:right w:w="150" w:type="dxa"/>
            </w:tcMar>
            <w:vAlign w:val="center"/>
            <w:hideMark/>
          </w:tcPr>
          <w:p w14:paraId="2F5DE07B"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color w:val="FF0000"/>
                <w:sz w:val="24"/>
                <w:szCs w:val="24"/>
              </w:rPr>
              <w:t>347,99</w:t>
            </w:r>
          </w:p>
        </w:tc>
      </w:tr>
    </w:tbl>
    <w:p w14:paraId="7C33CED8" w14:textId="329E3BE3" w:rsidR="00AA6DC9" w:rsidRPr="00AA6DC9" w:rsidRDefault="00DC7E7F" w:rsidP="003828AD">
      <w:pPr>
        <w:jc w:val="both"/>
        <w:rPr>
          <w:rFonts w:ascii="Times New Roman" w:hAnsi="Times New Roman" w:cs="Times New Roman"/>
          <w:sz w:val="24"/>
          <w:szCs w:val="24"/>
        </w:rPr>
      </w:pPr>
      <w:r>
        <w:rPr>
          <w:rFonts w:ascii="Times New Roman" w:hAnsi="Times New Roman" w:cs="Times New Roman"/>
          <w:sz w:val="24"/>
          <w:szCs w:val="24"/>
        </w:rPr>
        <w:t> »</w:t>
      </w:r>
    </w:p>
    <w:p w14:paraId="66D327A4" w14:textId="05993CC5" w:rsidR="00684373" w:rsidRDefault="00684373" w:rsidP="003828AD">
      <w:pPr>
        <w:jc w:val="both"/>
        <w:rPr>
          <w:rFonts w:ascii="Times New Roman" w:hAnsi="Times New Roman" w:cs="Times New Roman"/>
          <w:sz w:val="24"/>
          <w:szCs w:val="24"/>
        </w:rPr>
      </w:pPr>
    </w:p>
    <w:p w14:paraId="60AC218E" w14:textId="77777777" w:rsidR="003C79D1" w:rsidRDefault="00B02E7C"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La valeur indiquée dans le code Catala diffère de la disposition d’origine dans l’arrêté du 27 septembre 2019. En effet, selon une information du bureau DGALN/DHUP/FEA</w:t>
      </w:r>
      <w:r w:rsidR="003C79D1">
        <w:rPr>
          <w:rFonts w:ascii="Times New Roman" w:hAnsi="Times New Roman" w:cs="Times New Roman"/>
          <w:sz w:val="24"/>
          <w:szCs w:val="24"/>
        </w:rPr>
        <w:t xml:space="preserve"> communiquée par mail le 25 avril 2022, il s’agit de données incorrectes dues à une erreur sur l’arrêté d’origine. </w:t>
      </w:r>
    </w:p>
    <w:p w14:paraId="62BD16E9" w14:textId="728CA629" w:rsidR="00B02E7C" w:rsidRDefault="003C79D1" w:rsidP="003828AD">
      <w:pPr>
        <w:jc w:val="both"/>
        <w:rPr>
          <w:rFonts w:ascii="Times New Roman" w:hAnsi="Times New Roman" w:cs="Times New Roman"/>
          <w:sz w:val="24"/>
          <w:szCs w:val="24"/>
        </w:rPr>
      </w:pPr>
      <w:r>
        <w:rPr>
          <w:rFonts w:ascii="Times New Roman" w:hAnsi="Times New Roman" w:cs="Times New Roman"/>
          <w:sz w:val="24"/>
          <w:szCs w:val="24"/>
        </w:rPr>
        <w:t xml:space="preserve">Quelle formule est utilisée afin de déterminer les valeurs répertoriées dans ces tableaux ? </w:t>
      </w:r>
      <w:r w:rsidR="00B02E7C">
        <w:rPr>
          <w:rFonts w:ascii="Times New Roman" w:hAnsi="Times New Roman" w:cs="Times New Roman"/>
          <w:sz w:val="24"/>
          <w:szCs w:val="24"/>
        </w:rPr>
        <w:t xml:space="preserve"> </w:t>
      </w:r>
    </w:p>
    <w:p w14:paraId="37DC064D" w14:textId="77777777" w:rsidR="00684373" w:rsidRPr="00684373" w:rsidRDefault="00684373" w:rsidP="003828AD">
      <w:pPr>
        <w:jc w:val="both"/>
        <w:rPr>
          <w:rFonts w:ascii="Times New Roman" w:hAnsi="Times New Roman" w:cs="Times New Roman"/>
          <w:sz w:val="24"/>
          <w:szCs w:val="24"/>
        </w:rPr>
      </w:pPr>
    </w:p>
    <w:sectPr w:rsidR="00684373" w:rsidRPr="00684373" w:rsidSect="001C60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333E7"/>
    <w:multiLevelType w:val="hybridMultilevel"/>
    <w:tmpl w:val="7A7426CE"/>
    <w:lvl w:ilvl="0" w:tplc="B11C1928">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71093A07"/>
    <w:multiLevelType w:val="hybridMultilevel"/>
    <w:tmpl w:val="8F58B996"/>
    <w:lvl w:ilvl="0" w:tplc="69D0BC2C">
      <w:start w:val="1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0469678">
    <w:abstractNumId w:val="0"/>
  </w:num>
  <w:num w:numId="2" w16cid:durableId="1841966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252"/>
    <w:rsid w:val="0000656D"/>
    <w:rsid w:val="000623D8"/>
    <w:rsid w:val="00072935"/>
    <w:rsid w:val="000D325E"/>
    <w:rsid w:val="000D7844"/>
    <w:rsid w:val="000F1241"/>
    <w:rsid w:val="0013292A"/>
    <w:rsid w:val="00193078"/>
    <w:rsid w:val="001C60F3"/>
    <w:rsid w:val="002677DE"/>
    <w:rsid w:val="002D2EB3"/>
    <w:rsid w:val="003012EA"/>
    <w:rsid w:val="00316880"/>
    <w:rsid w:val="00345205"/>
    <w:rsid w:val="003828AD"/>
    <w:rsid w:val="003A0809"/>
    <w:rsid w:val="003C79D1"/>
    <w:rsid w:val="003E4C9C"/>
    <w:rsid w:val="0041563E"/>
    <w:rsid w:val="00480E6B"/>
    <w:rsid w:val="004D01F3"/>
    <w:rsid w:val="004D74CF"/>
    <w:rsid w:val="00507D0D"/>
    <w:rsid w:val="005870C0"/>
    <w:rsid w:val="005A2C94"/>
    <w:rsid w:val="00610075"/>
    <w:rsid w:val="006762C7"/>
    <w:rsid w:val="00684373"/>
    <w:rsid w:val="006B7DDF"/>
    <w:rsid w:val="007227D9"/>
    <w:rsid w:val="007A6BCD"/>
    <w:rsid w:val="007C431B"/>
    <w:rsid w:val="00800798"/>
    <w:rsid w:val="008D372F"/>
    <w:rsid w:val="00982A09"/>
    <w:rsid w:val="00A97FEB"/>
    <w:rsid w:val="00AA6DC9"/>
    <w:rsid w:val="00AC7A4A"/>
    <w:rsid w:val="00AD235A"/>
    <w:rsid w:val="00B02E7C"/>
    <w:rsid w:val="00B0384C"/>
    <w:rsid w:val="00B143FA"/>
    <w:rsid w:val="00BB3281"/>
    <w:rsid w:val="00C710C2"/>
    <w:rsid w:val="00CC3ECE"/>
    <w:rsid w:val="00DC7E7F"/>
    <w:rsid w:val="00DD2B21"/>
    <w:rsid w:val="00E46FFE"/>
    <w:rsid w:val="00E53F29"/>
    <w:rsid w:val="00EA2C95"/>
    <w:rsid w:val="00EA4844"/>
    <w:rsid w:val="00EB3865"/>
    <w:rsid w:val="00EE6636"/>
    <w:rsid w:val="00EF228D"/>
    <w:rsid w:val="00EF46CC"/>
    <w:rsid w:val="00F265CE"/>
    <w:rsid w:val="00F74EA2"/>
    <w:rsid w:val="00FB42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C394"/>
  <w15:chartTrackingRefBased/>
  <w15:docId w15:val="{E990F7D0-1A54-4B17-9E1F-4F200BA7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C0"/>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utoRedefine/>
    <w:uiPriority w:val="1"/>
    <w:qFormat/>
    <w:rsid w:val="000D325E"/>
    <w:pPr>
      <w:jc w:val="both"/>
    </w:pPr>
    <w:rPr>
      <w:rFonts w:ascii="Times New Roman" w:hAnsi="Times New Roman"/>
      <w:sz w:val="24"/>
    </w:rPr>
  </w:style>
  <w:style w:type="character" w:styleId="Lienhypertexte">
    <w:name w:val="Hyperlink"/>
    <w:basedOn w:val="Policepardfaut"/>
    <w:uiPriority w:val="99"/>
    <w:unhideWhenUsed/>
    <w:rsid w:val="00480E6B"/>
    <w:rPr>
      <w:color w:val="0563C1" w:themeColor="hyperlink"/>
      <w:u w:val="single"/>
    </w:rPr>
  </w:style>
  <w:style w:type="character" w:styleId="Mentionnonrsolue">
    <w:name w:val="Unresolved Mention"/>
    <w:basedOn w:val="Policepardfaut"/>
    <w:uiPriority w:val="99"/>
    <w:semiHidden/>
    <w:unhideWhenUsed/>
    <w:rsid w:val="00480E6B"/>
    <w:rPr>
      <w:color w:val="605E5C"/>
      <w:shd w:val="clear" w:color="auto" w:fill="E1DFDD"/>
    </w:rPr>
  </w:style>
  <w:style w:type="paragraph" w:styleId="Paragraphedeliste">
    <w:name w:val="List Paragraph"/>
    <w:basedOn w:val="Normal"/>
    <w:uiPriority w:val="34"/>
    <w:qFormat/>
    <w:rsid w:val="000D7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789">
      <w:bodyDiv w:val="1"/>
      <w:marLeft w:val="0"/>
      <w:marRight w:val="0"/>
      <w:marTop w:val="0"/>
      <w:marBottom w:val="0"/>
      <w:divBdr>
        <w:top w:val="none" w:sz="0" w:space="0" w:color="auto"/>
        <w:left w:val="none" w:sz="0" w:space="0" w:color="auto"/>
        <w:bottom w:val="none" w:sz="0" w:space="0" w:color="auto"/>
        <w:right w:val="none" w:sz="0" w:space="0" w:color="auto"/>
      </w:divBdr>
      <w:divsChild>
        <w:div w:id="799301332">
          <w:marLeft w:val="0"/>
          <w:marRight w:val="0"/>
          <w:marTop w:val="0"/>
          <w:marBottom w:val="0"/>
          <w:divBdr>
            <w:top w:val="none" w:sz="0" w:space="0" w:color="auto"/>
            <w:left w:val="none" w:sz="0" w:space="0" w:color="auto"/>
            <w:bottom w:val="none" w:sz="0" w:space="0" w:color="auto"/>
            <w:right w:val="none" w:sz="0" w:space="0" w:color="auto"/>
          </w:divBdr>
          <w:divsChild>
            <w:div w:id="1187402932">
              <w:marLeft w:val="0"/>
              <w:marRight w:val="0"/>
              <w:marTop w:val="0"/>
              <w:marBottom w:val="0"/>
              <w:divBdr>
                <w:top w:val="none" w:sz="0" w:space="0" w:color="auto"/>
                <w:left w:val="none" w:sz="0" w:space="0" w:color="auto"/>
                <w:bottom w:val="none" w:sz="0" w:space="0" w:color="auto"/>
                <w:right w:val="none" w:sz="0" w:space="0" w:color="auto"/>
              </w:divBdr>
            </w:div>
            <w:div w:id="739206835">
              <w:marLeft w:val="0"/>
              <w:marRight w:val="0"/>
              <w:marTop w:val="0"/>
              <w:marBottom w:val="0"/>
              <w:divBdr>
                <w:top w:val="none" w:sz="0" w:space="0" w:color="auto"/>
                <w:left w:val="none" w:sz="0" w:space="0" w:color="auto"/>
                <w:bottom w:val="none" w:sz="0" w:space="0" w:color="auto"/>
                <w:right w:val="none" w:sz="0" w:space="0" w:color="auto"/>
              </w:divBdr>
            </w:div>
            <w:div w:id="212063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093">
      <w:bodyDiv w:val="1"/>
      <w:marLeft w:val="0"/>
      <w:marRight w:val="0"/>
      <w:marTop w:val="0"/>
      <w:marBottom w:val="0"/>
      <w:divBdr>
        <w:top w:val="none" w:sz="0" w:space="0" w:color="auto"/>
        <w:left w:val="none" w:sz="0" w:space="0" w:color="auto"/>
        <w:bottom w:val="none" w:sz="0" w:space="0" w:color="auto"/>
        <w:right w:val="none" w:sz="0" w:space="0" w:color="auto"/>
      </w:divBdr>
      <w:divsChild>
        <w:div w:id="1326326356">
          <w:marLeft w:val="0"/>
          <w:marRight w:val="0"/>
          <w:marTop w:val="0"/>
          <w:marBottom w:val="0"/>
          <w:divBdr>
            <w:top w:val="none" w:sz="0" w:space="0" w:color="auto"/>
            <w:left w:val="none" w:sz="0" w:space="0" w:color="auto"/>
            <w:bottom w:val="none" w:sz="0" w:space="0" w:color="auto"/>
            <w:right w:val="none" w:sz="0" w:space="0" w:color="auto"/>
          </w:divBdr>
          <w:divsChild>
            <w:div w:id="1996836145">
              <w:marLeft w:val="0"/>
              <w:marRight w:val="0"/>
              <w:marTop w:val="0"/>
              <w:marBottom w:val="0"/>
              <w:divBdr>
                <w:top w:val="none" w:sz="0" w:space="0" w:color="auto"/>
                <w:left w:val="none" w:sz="0" w:space="0" w:color="auto"/>
                <w:bottom w:val="none" w:sz="0" w:space="0" w:color="auto"/>
                <w:right w:val="none" w:sz="0" w:space="0" w:color="auto"/>
              </w:divBdr>
            </w:div>
            <w:div w:id="2124499282">
              <w:marLeft w:val="0"/>
              <w:marRight w:val="0"/>
              <w:marTop w:val="0"/>
              <w:marBottom w:val="0"/>
              <w:divBdr>
                <w:top w:val="none" w:sz="0" w:space="0" w:color="auto"/>
                <w:left w:val="none" w:sz="0" w:space="0" w:color="auto"/>
                <w:bottom w:val="none" w:sz="0" w:space="0" w:color="auto"/>
                <w:right w:val="none" w:sz="0" w:space="0" w:color="auto"/>
              </w:divBdr>
            </w:div>
            <w:div w:id="1790978083">
              <w:marLeft w:val="0"/>
              <w:marRight w:val="0"/>
              <w:marTop w:val="0"/>
              <w:marBottom w:val="0"/>
              <w:divBdr>
                <w:top w:val="none" w:sz="0" w:space="0" w:color="auto"/>
                <w:left w:val="none" w:sz="0" w:space="0" w:color="auto"/>
                <w:bottom w:val="none" w:sz="0" w:space="0" w:color="auto"/>
                <w:right w:val="none" w:sz="0" w:space="0" w:color="auto"/>
              </w:divBdr>
            </w:div>
            <w:div w:id="1213228332">
              <w:marLeft w:val="0"/>
              <w:marRight w:val="0"/>
              <w:marTop w:val="0"/>
              <w:marBottom w:val="0"/>
              <w:divBdr>
                <w:top w:val="none" w:sz="0" w:space="0" w:color="auto"/>
                <w:left w:val="none" w:sz="0" w:space="0" w:color="auto"/>
                <w:bottom w:val="none" w:sz="0" w:space="0" w:color="auto"/>
                <w:right w:val="none" w:sz="0" w:space="0" w:color="auto"/>
              </w:divBdr>
            </w:div>
            <w:div w:id="1859150441">
              <w:marLeft w:val="0"/>
              <w:marRight w:val="0"/>
              <w:marTop w:val="0"/>
              <w:marBottom w:val="0"/>
              <w:divBdr>
                <w:top w:val="none" w:sz="0" w:space="0" w:color="auto"/>
                <w:left w:val="none" w:sz="0" w:space="0" w:color="auto"/>
                <w:bottom w:val="none" w:sz="0" w:space="0" w:color="auto"/>
                <w:right w:val="none" w:sz="0" w:space="0" w:color="auto"/>
              </w:divBdr>
            </w:div>
            <w:div w:id="34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609">
      <w:bodyDiv w:val="1"/>
      <w:marLeft w:val="0"/>
      <w:marRight w:val="0"/>
      <w:marTop w:val="0"/>
      <w:marBottom w:val="0"/>
      <w:divBdr>
        <w:top w:val="none" w:sz="0" w:space="0" w:color="auto"/>
        <w:left w:val="none" w:sz="0" w:space="0" w:color="auto"/>
        <w:bottom w:val="none" w:sz="0" w:space="0" w:color="auto"/>
        <w:right w:val="none" w:sz="0" w:space="0" w:color="auto"/>
      </w:divBdr>
      <w:divsChild>
        <w:div w:id="265505697">
          <w:marLeft w:val="0"/>
          <w:marRight w:val="0"/>
          <w:marTop w:val="0"/>
          <w:marBottom w:val="0"/>
          <w:divBdr>
            <w:top w:val="none" w:sz="0" w:space="0" w:color="auto"/>
            <w:left w:val="none" w:sz="0" w:space="0" w:color="auto"/>
            <w:bottom w:val="none" w:sz="0" w:space="0" w:color="auto"/>
            <w:right w:val="none" w:sz="0" w:space="0" w:color="auto"/>
          </w:divBdr>
          <w:divsChild>
            <w:div w:id="812403181">
              <w:marLeft w:val="0"/>
              <w:marRight w:val="0"/>
              <w:marTop w:val="0"/>
              <w:marBottom w:val="0"/>
              <w:divBdr>
                <w:top w:val="none" w:sz="0" w:space="0" w:color="auto"/>
                <w:left w:val="none" w:sz="0" w:space="0" w:color="auto"/>
                <w:bottom w:val="none" w:sz="0" w:space="0" w:color="auto"/>
                <w:right w:val="none" w:sz="0" w:space="0" w:color="auto"/>
              </w:divBdr>
            </w:div>
            <w:div w:id="404298876">
              <w:marLeft w:val="0"/>
              <w:marRight w:val="0"/>
              <w:marTop w:val="0"/>
              <w:marBottom w:val="0"/>
              <w:divBdr>
                <w:top w:val="none" w:sz="0" w:space="0" w:color="auto"/>
                <w:left w:val="none" w:sz="0" w:space="0" w:color="auto"/>
                <w:bottom w:val="none" w:sz="0" w:space="0" w:color="auto"/>
                <w:right w:val="none" w:sz="0" w:space="0" w:color="auto"/>
              </w:divBdr>
            </w:div>
            <w:div w:id="1202522208">
              <w:marLeft w:val="0"/>
              <w:marRight w:val="0"/>
              <w:marTop w:val="0"/>
              <w:marBottom w:val="0"/>
              <w:divBdr>
                <w:top w:val="none" w:sz="0" w:space="0" w:color="auto"/>
                <w:left w:val="none" w:sz="0" w:space="0" w:color="auto"/>
                <w:bottom w:val="none" w:sz="0" w:space="0" w:color="auto"/>
                <w:right w:val="none" w:sz="0" w:space="0" w:color="auto"/>
              </w:divBdr>
            </w:div>
            <w:div w:id="1121456844">
              <w:marLeft w:val="0"/>
              <w:marRight w:val="0"/>
              <w:marTop w:val="0"/>
              <w:marBottom w:val="0"/>
              <w:divBdr>
                <w:top w:val="none" w:sz="0" w:space="0" w:color="auto"/>
                <w:left w:val="none" w:sz="0" w:space="0" w:color="auto"/>
                <w:bottom w:val="none" w:sz="0" w:space="0" w:color="auto"/>
                <w:right w:val="none" w:sz="0" w:space="0" w:color="auto"/>
              </w:divBdr>
            </w:div>
            <w:div w:id="600184953">
              <w:marLeft w:val="0"/>
              <w:marRight w:val="0"/>
              <w:marTop w:val="0"/>
              <w:marBottom w:val="0"/>
              <w:divBdr>
                <w:top w:val="none" w:sz="0" w:space="0" w:color="auto"/>
                <w:left w:val="none" w:sz="0" w:space="0" w:color="auto"/>
                <w:bottom w:val="none" w:sz="0" w:space="0" w:color="auto"/>
                <w:right w:val="none" w:sz="0" w:space="0" w:color="auto"/>
              </w:divBdr>
            </w:div>
            <w:div w:id="15838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5004">
      <w:bodyDiv w:val="1"/>
      <w:marLeft w:val="0"/>
      <w:marRight w:val="0"/>
      <w:marTop w:val="0"/>
      <w:marBottom w:val="0"/>
      <w:divBdr>
        <w:top w:val="none" w:sz="0" w:space="0" w:color="auto"/>
        <w:left w:val="none" w:sz="0" w:space="0" w:color="auto"/>
        <w:bottom w:val="none" w:sz="0" w:space="0" w:color="auto"/>
        <w:right w:val="none" w:sz="0" w:space="0" w:color="auto"/>
      </w:divBdr>
      <w:divsChild>
        <w:div w:id="1545486204">
          <w:marLeft w:val="0"/>
          <w:marRight w:val="0"/>
          <w:marTop w:val="0"/>
          <w:marBottom w:val="0"/>
          <w:divBdr>
            <w:top w:val="none" w:sz="0" w:space="0" w:color="auto"/>
            <w:left w:val="none" w:sz="0" w:space="0" w:color="auto"/>
            <w:bottom w:val="none" w:sz="0" w:space="0" w:color="auto"/>
            <w:right w:val="none" w:sz="0" w:space="0" w:color="auto"/>
          </w:divBdr>
          <w:divsChild>
            <w:div w:id="650715296">
              <w:marLeft w:val="0"/>
              <w:marRight w:val="0"/>
              <w:marTop w:val="0"/>
              <w:marBottom w:val="0"/>
              <w:divBdr>
                <w:top w:val="none" w:sz="0" w:space="0" w:color="auto"/>
                <w:left w:val="none" w:sz="0" w:space="0" w:color="auto"/>
                <w:bottom w:val="none" w:sz="0" w:space="0" w:color="auto"/>
                <w:right w:val="none" w:sz="0" w:space="0" w:color="auto"/>
              </w:divBdr>
            </w:div>
            <w:div w:id="586696805">
              <w:marLeft w:val="0"/>
              <w:marRight w:val="0"/>
              <w:marTop w:val="0"/>
              <w:marBottom w:val="0"/>
              <w:divBdr>
                <w:top w:val="none" w:sz="0" w:space="0" w:color="auto"/>
                <w:left w:val="none" w:sz="0" w:space="0" w:color="auto"/>
                <w:bottom w:val="none" w:sz="0" w:space="0" w:color="auto"/>
                <w:right w:val="none" w:sz="0" w:space="0" w:color="auto"/>
              </w:divBdr>
            </w:div>
            <w:div w:id="2026203243">
              <w:marLeft w:val="0"/>
              <w:marRight w:val="0"/>
              <w:marTop w:val="0"/>
              <w:marBottom w:val="0"/>
              <w:divBdr>
                <w:top w:val="none" w:sz="0" w:space="0" w:color="auto"/>
                <w:left w:val="none" w:sz="0" w:space="0" w:color="auto"/>
                <w:bottom w:val="none" w:sz="0" w:space="0" w:color="auto"/>
                <w:right w:val="none" w:sz="0" w:space="0" w:color="auto"/>
              </w:divBdr>
            </w:div>
            <w:div w:id="1548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32321">
      <w:bodyDiv w:val="1"/>
      <w:marLeft w:val="0"/>
      <w:marRight w:val="0"/>
      <w:marTop w:val="0"/>
      <w:marBottom w:val="0"/>
      <w:divBdr>
        <w:top w:val="none" w:sz="0" w:space="0" w:color="auto"/>
        <w:left w:val="none" w:sz="0" w:space="0" w:color="auto"/>
        <w:bottom w:val="none" w:sz="0" w:space="0" w:color="auto"/>
        <w:right w:val="none" w:sz="0" w:space="0" w:color="auto"/>
      </w:divBdr>
      <w:divsChild>
        <w:div w:id="949124913">
          <w:marLeft w:val="0"/>
          <w:marRight w:val="0"/>
          <w:marTop w:val="0"/>
          <w:marBottom w:val="0"/>
          <w:divBdr>
            <w:top w:val="none" w:sz="0" w:space="0" w:color="auto"/>
            <w:left w:val="none" w:sz="0" w:space="0" w:color="auto"/>
            <w:bottom w:val="none" w:sz="0" w:space="0" w:color="auto"/>
            <w:right w:val="none" w:sz="0" w:space="0" w:color="auto"/>
          </w:divBdr>
          <w:divsChild>
            <w:div w:id="71516137">
              <w:marLeft w:val="0"/>
              <w:marRight w:val="0"/>
              <w:marTop w:val="0"/>
              <w:marBottom w:val="0"/>
              <w:divBdr>
                <w:top w:val="none" w:sz="0" w:space="0" w:color="auto"/>
                <w:left w:val="none" w:sz="0" w:space="0" w:color="auto"/>
                <w:bottom w:val="none" w:sz="0" w:space="0" w:color="auto"/>
                <w:right w:val="none" w:sz="0" w:space="0" w:color="auto"/>
              </w:divBdr>
            </w:div>
            <w:div w:id="1735464662">
              <w:marLeft w:val="0"/>
              <w:marRight w:val="0"/>
              <w:marTop w:val="0"/>
              <w:marBottom w:val="0"/>
              <w:divBdr>
                <w:top w:val="none" w:sz="0" w:space="0" w:color="auto"/>
                <w:left w:val="none" w:sz="0" w:space="0" w:color="auto"/>
                <w:bottom w:val="none" w:sz="0" w:space="0" w:color="auto"/>
                <w:right w:val="none" w:sz="0" w:space="0" w:color="auto"/>
              </w:divBdr>
            </w:div>
            <w:div w:id="7273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516">
      <w:bodyDiv w:val="1"/>
      <w:marLeft w:val="0"/>
      <w:marRight w:val="0"/>
      <w:marTop w:val="0"/>
      <w:marBottom w:val="0"/>
      <w:divBdr>
        <w:top w:val="none" w:sz="0" w:space="0" w:color="auto"/>
        <w:left w:val="none" w:sz="0" w:space="0" w:color="auto"/>
        <w:bottom w:val="none" w:sz="0" w:space="0" w:color="auto"/>
        <w:right w:val="none" w:sz="0" w:space="0" w:color="auto"/>
      </w:divBdr>
      <w:divsChild>
        <w:div w:id="950547400">
          <w:marLeft w:val="0"/>
          <w:marRight w:val="0"/>
          <w:marTop w:val="0"/>
          <w:marBottom w:val="0"/>
          <w:divBdr>
            <w:top w:val="none" w:sz="0" w:space="0" w:color="auto"/>
            <w:left w:val="none" w:sz="0" w:space="0" w:color="auto"/>
            <w:bottom w:val="none" w:sz="0" w:space="0" w:color="auto"/>
            <w:right w:val="none" w:sz="0" w:space="0" w:color="auto"/>
          </w:divBdr>
          <w:divsChild>
            <w:div w:id="213932399">
              <w:marLeft w:val="0"/>
              <w:marRight w:val="0"/>
              <w:marTop w:val="0"/>
              <w:marBottom w:val="0"/>
              <w:divBdr>
                <w:top w:val="none" w:sz="0" w:space="0" w:color="auto"/>
                <w:left w:val="none" w:sz="0" w:space="0" w:color="auto"/>
                <w:bottom w:val="none" w:sz="0" w:space="0" w:color="auto"/>
                <w:right w:val="none" w:sz="0" w:space="0" w:color="auto"/>
              </w:divBdr>
            </w:div>
            <w:div w:id="262306043">
              <w:marLeft w:val="0"/>
              <w:marRight w:val="0"/>
              <w:marTop w:val="0"/>
              <w:marBottom w:val="0"/>
              <w:divBdr>
                <w:top w:val="none" w:sz="0" w:space="0" w:color="auto"/>
                <w:left w:val="none" w:sz="0" w:space="0" w:color="auto"/>
                <w:bottom w:val="none" w:sz="0" w:space="0" w:color="auto"/>
                <w:right w:val="none" w:sz="0" w:space="0" w:color="auto"/>
              </w:divBdr>
            </w:div>
            <w:div w:id="1354721539">
              <w:marLeft w:val="0"/>
              <w:marRight w:val="0"/>
              <w:marTop w:val="0"/>
              <w:marBottom w:val="0"/>
              <w:divBdr>
                <w:top w:val="none" w:sz="0" w:space="0" w:color="auto"/>
                <w:left w:val="none" w:sz="0" w:space="0" w:color="auto"/>
                <w:bottom w:val="none" w:sz="0" w:space="0" w:color="auto"/>
                <w:right w:val="none" w:sz="0" w:space="0" w:color="auto"/>
              </w:divBdr>
            </w:div>
            <w:div w:id="10237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6789">
      <w:bodyDiv w:val="1"/>
      <w:marLeft w:val="0"/>
      <w:marRight w:val="0"/>
      <w:marTop w:val="0"/>
      <w:marBottom w:val="0"/>
      <w:divBdr>
        <w:top w:val="none" w:sz="0" w:space="0" w:color="auto"/>
        <w:left w:val="none" w:sz="0" w:space="0" w:color="auto"/>
        <w:bottom w:val="none" w:sz="0" w:space="0" w:color="auto"/>
        <w:right w:val="none" w:sz="0" w:space="0" w:color="auto"/>
      </w:divBdr>
      <w:divsChild>
        <w:div w:id="598368934">
          <w:marLeft w:val="0"/>
          <w:marRight w:val="0"/>
          <w:marTop w:val="0"/>
          <w:marBottom w:val="0"/>
          <w:divBdr>
            <w:top w:val="none" w:sz="0" w:space="0" w:color="auto"/>
            <w:left w:val="none" w:sz="0" w:space="0" w:color="auto"/>
            <w:bottom w:val="none" w:sz="0" w:space="0" w:color="auto"/>
            <w:right w:val="none" w:sz="0" w:space="0" w:color="auto"/>
          </w:divBdr>
          <w:divsChild>
            <w:div w:id="1376000678">
              <w:marLeft w:val="0"/>
              <w:marRight w:val="0"/>
              <w:marTop w:val="0"/>
              <w:marBottom w:val="0"/>
              <w:divBdr>
                <w:top w:val="none" w:sz="0" w:space="0" w:color="auto"/>
                <w:left w:val="none" w:sz="0" w:space="0" w:color="auto"/>
                <w:bottom w:val="none" w:sz="0" w:space="0" w:color="auto"/>
                <w:right w:val="none" w:sz="0" w:space="0" w:color="auto"/>
              </w:divBdr>
            </w:div>
            <w:div w:id="1465073765">
              <w:marLeft w:val="0"/>
              <w:marRight w:val="0"/>
              <w:marTop w:val="0"/>
              <w:marBottom w:val="0"/>
              <w:divBdr>
                <w:top w:val="none" w:sz="0" w:space="0" w:color="auto"/>
                <w:left w:val="none" w:sz="0" w:space="0" w:color="auto"/>
                <w:bottom w:val="none" w:sz="0" w:space="0" w:color="auto"/>
                <w:right w:val="none" w:sz="0" w:space="0" w:color="auto"/>
              </w:divBdr>
            </w:div>
            <w:div w:id="21404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8565">
      <w:bodyDiv w:val="1"/>
      <w:marLeft w:val="0"/>
      <w:marRight w:val="0"/>
      <w:marTop w:val="0"/>
      <w:marBottom w:val="0"/>
      <w:divBdr>
        <w:top w:val="none" w:sz="0" w:space="0" w:color="auto"/>
        <w:left w:val="none" w:sz="0" w:space="0" w:color="auto"/>
        <w:bottom w:val="none" w:sz="0" w:space="0" w:color="auto"/>
        <w:right w:val="none" w:sz="0" w:space="0" w:color="auto"/>
      </w:divBdr>
      <w:divsChild>
        <w:div w:id="1118917752">
          <w:marLeft w:val="0"/>
          <w:marRight w:val="0"/>
          <w:marTop w:val="0"/>
          <w:marBottom w:val="0"/>
          <w:divBdr>
            <w:top w:val="none" w:sz="0" w:space="0" w:color="auto"/>
            <w:left w:val="none" w:sz="0" w:space="0" w:color="auto"/>
            <w:bottom w:val="none" w:sz="0" w:space="0" w:color="auto"/>
            <w:right w:val="none" w:sz="0" w:space="0" w:color="auto"/>
          </w:divBdr>
          <w:divsChild>
            <w:div w:id="2116826260">
              <w:marLeft w:val="0"/>
              <w:marRight w:val="0"/>
              <w:marTop w:val="0"/>
              <w:marBottom w:val="0"/>
              <w:divBdr>
                <w:top w:val="none" w:sz="0" w:space="0" w:color="auto"/>
                <w:left w:val="none" w:sz="0" w:space="0" w:color="auto"/>
                <w:bottom w:val="none" w:sz="0" w:space="0" w:color="auto"/>
                <w:right w:val="none" w:sz="0" w:space="0" w:color="auto"/>
              </w:divBdr>
            </w:div>
            <w:div w:id="616301029">
              <w:marLeft w:val="0"/>
              <w:marRight w:val="0"/>
              <w:marTop w:val="0"/>
              <w:marBottom w:val="0"/>
              <w:divBdr>
                <w:top w:val="none" w:sz="0" w:space="0" w:color="auto"/>
                <w:left w:val="none" w:sz="0" w:space="0" w:color="auto"/>
                <w:bottom w:val="none" w:sz="0" w:space="0" w:color="auto"/>
                <w:right w:val="none" w:sz="0" w:space="0" w:color="auto"/>
              </w:divBdr>
            </w:div>
            <w:div w:id="883173237">
              <w:marLeft w:val="0"/>
              <w:marRight w:val="0"/>
              <w:marTop w:val="0"/>
              <w:marBottom w:val="0"/>
              <w:divBdr>
                <w:top w:val="none" w:sz="0" w:space="0" w:color="auto"/>
                <w:left w:val="none" w:sz="0" w:space="0" w:color="auto"/>
                <w:bottom w:val="none" w:sz="0" w:space="0" w:color="auto"/>
                <w:right w:val="none" w:sz="0" w:space="0" w:color="auto"/>
              </w:divBdr>
            </w:div>
            <w:div w:id="1205364222">
              <w:marLeft w:val="0"/>
              <w:marRight w:val="0"/>
              <w:marTop w:val="0"/>
              <w:marBottom w:val="0"/>
              <w:divBdr>
                <w:top w:val="none" w:sz="0" w:space="0" w:color="auto"/>
                <w:left w:val="none" w:sz="0" w:space="0" w:color="auto"/>
                <w:bottom w:val="none" w:sz="0" w:space="0" w:color="auto"/>
                <w:right w:val="none" w:sz="0" w:space="0" w:color="auto"/>
              </w:divBdr>
            </w:div>
            <w:div w:id="1543636617">
              <w:marLeft w:val="0"/>
              <w:marRight w:val="0"/>
              <w:marTop w:val="0"/>
              <w:marBottom w:val="0"/>
              <w:divBdr>
                <w:top w:val="none" w:sz="0" w:space="0" w:color="auto"/>
                <w:left w:val="none" w:sz="0" w:space="0" w:color="auto"/>
                <w:bottom w:val="none" w:sz="0" w:space="0" w:color="auto"/>
                <w:right w:val="none" w:sz="0" w:space="0" w:color="auto"/>
              </w:divBdr>
            </w:div>
            <w:div w:id="1040478022">
              <w:marLeft w:val="0"/>
              <w:marRight w:val="0"/>
              <w:marTop w:val="0"/>
              <w:marBottom w:val="0"/>
              <w:divBdr>
                <w:top w:val="none" w:sz="0" w:space="0" w:color="auto"/>
                <w:left w:val="none" w:sz="0" w:space="0" w:color="auto"/>
                <w:bottom w:val="none" w:sz="0" w:space="0" w:color="auto"/>
                <w:right w:val="none" w:sz="0" w:space="0" w:color="auto"/>
              </w:divBdr>
            </w:div>
            <w:div w:id="1999503956">
              <w:marLeft w:val="0"/>
              <w:marRight w:val="0"/>
              <w:marTop w:val="0"/>
              <w:marBottom w:val="0"/>
              <w:divBdr>
                <w:top w:val="none" w:sz="0" w:space="0" w:color="auto"/>
                <w:left w:val="none" w:sz="0" w:space="0" w:color="auto"/>
                <w:bottom w:val="none" w:sz="0" w:space="0" w:color="auto"/>
                <w:right w:val="none" w:sz="0" w:space="0" w:color="auto"/>
              </w:divBdr>
            </w:div>
            <w:div w:id="1747999161">
              <w:marLeft w:val="0"/>
              <w:marRight w:val="0"/>
              <w:marTop w:val="0"/>
              <w:marBottom w:val="0"/>
              <w:divBdr>
                <w:top w:val="none" w:sz="0" w:space="0" w:color="auto"/>
                <w:left w:val="none" w:sz="0" w:space="0" w:color="auto"/>
                <w:bottom w:val="none" w:sz="0" w:space="0" w:color="auto"/>
                <w:right w:val="none" w:sz="0" w:space="0" w:color="auto"/>
              </w:divBdr>
            </w:div>
            <w:div w:id="681788082">
              <w:marLeft w:val="0"/>
              <w:marRight w:val="0"/>
              <w:marTop w:val="0"/>
              <w:marBottom w:val="0"/>
              <w:divBdr>
                <w:top w:val="none" w:sz="0" w:space="0" w:color="auto"/>
                <w:left w:val="none" w:sz="0" w:space="0" w:color="auto"/>
                <w:bottom w:val="none" w:sz="0" w:space="0" w:color="auto"/>
                <w:right w:val="none" w:sz="0" w:space="0" w:color="auto"/>
              </w:divBdr>
            </w:div>
            <w:div w:id="878737781">
              <w:marLeft w:val="0"/>
              <w:marRight w:val="0"/>
              <w:marTop w:val="0"/>
              <w:marBottom w:val="0"/>
              <w:divBdr>
                <w:top w:val="none" w:sz="0" w:space="0" w:color="auto"/>
                <w:left w:val="none" w:sz="0" w:space="0" w:color="auto"/>
                <w:bottom w:val="none" w:sz="0" w:space="0" w:color="auto"/>
                <w:right w:val="none" w:sz="0" w:space="0" w:color="auto"/>
              </w:divBdr>
            </w:div>
            <w:div w:id="703561302">
              <w:marLeft w:val="0"/>
              <w:marRight w:val="0"/>
              <w:marTop w:val="0"/>
              <w:marBottom w:val="0"/>
              <w:divBdr>
                <w:top w:val="none" w:sz="0" w:space="0" w:color="auto"/>
                <w:left w:val="none" w:sz="0" w:space="0" w:color="auto"/>
                <w:bottom w:val="none" w:sz="0" w:space="0" w:color="auto"/>
                <w:right w:val="none" w:sz="0" w:space="0" w:color="auto"/>
              </w:divBdr>
            </w:div>
            <w:div w:id="1138914925">
              <w:marLeft w:val="0"/>
              <w:marRight w:val="0"/>
              <w:marTop w:val="0"/>
              <w:marBottom w:val="0"/>
              <w:divBdr>
                <w:top w:val="none" w:sz="0" w:space="0" w:color="auto"/>
                <w:left w:val="none" w:sz="0" w:space="0" w:color="auto"/>
                <w:bottom w:val="none" w:sz="0" w:space="0" w:color="auto"/>
                <w:right w:val="none" w:sz="0" w:space="0" w:color="auto"/>
              </w:divBdr>
            </w:div>
            <w:div w:id="1477794477">
              <w:marLeft w:val="0"/>
              <w:marRight w:val="0"/>
              <w:marTop w:val="0"/>
              <w:marBottom w:val="0"/>
              <w:divBdr>
                <w:top w:val="none" w:sz="0" w:space="0" w:color="auto"/>
                <w:left w:val="none" w:sz="0" w:space="0" w:color="auto"/>
                <w:bottom w:val="none" w:sz="0" w:space="0" w:color="auto"/>
                <w:right w:val="none" w:sz="0" w:space="0" w:color="auto"/>
              </w:divBdr>
            </w:div>
            <w:div w:id="1248226749">
              <w:marLeft w:val="0"/>
              <w:marRight w:val="0"/>
              <w:marTop w:val="0"/>
              <w:marBottom w:val="0"/>
              <w:divBdr>
                <w:top w:val="none" w:sz="0" w:space="0" w:color="auto"/>
                <w:left w:val="none" w:sz="0" w:space="0" w:color="auto"/>
                <w:bottom w:val="none" w:sz="0" w:space="0" w:color="auto"/>
                <w:right w:val="none" w:sz="0" w:space="0" w:color="auto"/>
              </w:divBdr>
            </w:div>
            <w:div w:id="338192756">
              <w:marLeft w:val="0"/>
              <w:marRight w:val="0"/>
              <w:marTop w:val="0"/>
              <w:marBottom w:val="0"/>
              <w:divBdr>
                <w:top w:val="none" w:sz="0" w:space="0" w:color="auto"/>
                <w:left w:val="none" w:sz="0" w:space="0" w:color="auto"/>
                <w:bottom w:val="none" w:sz="0" w:space="0" w:color="auto"/>
                <w:right w:val="none" w:sz="0" w:space="0" w:color="auto"/>
              </w:divBdr>
            </w:div>
            <w:div w:id="623736733">
              <w:marLeft w:val="0"/>
              <w:marRight w:val="0"/>
              <w:marTop w:val="0"/>
              <w:marBottom w:val="0"/>
              <w:divBdr>
                <w:top w:val="none" w:sz="0" w:space="0" w:color="auto"/>
                <w:left w:val="none" w:sz="0" w:space="0" w:color="auto"/>
                <w:bottom w:val="none" w:sz="0" w:space="0" w:color="auto"/>
                <w:right w:val="none" w:sz="0" w:space="0" w:color="auto"/>
              </w:divBdr>
            </w:div>
            <w:div w:id="1911228141">
              <w:marLeft w:val="0"/>
              <w:marRight w:val="0"/>
              <w:marTop w:val="0"/>
              <w:marBottom w:val="0"/>
              <w:divBdr>
                <w:top w:val="none" w:sz="0" w:space="0" w:color="auto"/>
                <w:left w:val="none" w:sz="0" w:space="0" w:color="auto"/>
                <w:bottom w:val="none" w:sz="0" w:space="0" w:color="auto"/>
                <w:right w:val="none" w:sz="0" w:space="0" w:color="auto"/>
              </w:divBdr>
            </w:div>
            <w:div w:id="958071590">
              <w:marLeft w:val="0"/>
              <w:marRight w:val="0"/>
              <w:marTop w:val="0"/>
              <w:marBottom w:val="0"/>
              <w:divBdr>
                <w:top w:val="none" w:sz="0" w:space="0" w:color="auto"/>
                <w:left w:val="none" w:sz="0" w:space="0" w:color="auto"/>
                <w:bottom w:val="none" w:sz="0" w:space="0" w:color="auto"/>
                <w:right w:val="none" w:sz="0" w:space="0" w:color="auto"/>
              </w:divBdr>
            </w:div>
            <w:div w:id="1628391801">
              <w:marLeft w:val="0"/>
              <w:marRight w:val="0"/>
              <w:marTop w:val="0"/>
              <w:marBottom w:val="0"/>
              <w:divBdr>
                <w:top w:val="none" w:sz="0" w:space="0" w:color="auto"/>
                <w:left w:val="none" w:sz="0" w:space="0" w:color="auto"/>
                <w:bottom w:val="none" w:sz="0" w:space="0" w:color="auto"/>
                <w:right w:val="none" w:sz="0" w:space="0" w:color="auto"/>
              </w:divBdr>
            </w:div>
            <w:div w:id="1060589811">
              <w:marLeft w:val="0"/>
              <w:marRight w:val="0"/>
              <w:marTop w:val="0"/>
              <w:marBottom w:val="0"/>
              <w:divBdr>
                <w:top w:val="none" w:sz="0" w:space="0" w:color="auto"/>
                <w:left w:val="none" w:sz="0" w:space="0" w:color="auto"/>
                <w:bottom w:val="none" w:sz="0" w:space="0" w:color="auto"/>
                <w:right w:val="none" w:sz="0" w:space="0" w:color="auto"/>
              </w:divBdr>
            </w:div>
            <w:div w:id="282806883">
              <w:marLeft w:val="0"/>
              <w:marRight w:val="0"/>
              <w:marTop w:val="0"/>
              <w:marBottom w:val="0"/>
              <w:divBdr>
                <w:top w:val="none" w:sz="0" w:space="0" w:color="auto"/>
                <w:left w:val="none" w:sz="0" w:space="0" w:color="auto"/>
                <w:bottom w:val="none" w:sz="0" w:space="0" w:color="auto"/>
                <w:right w:val="none" w:sz="0" w:space="0" w:color="auto"/>
              </w:divBdr>
            </w:div>
            <w:div w:id="1478104865">
              <w:marLeft w:val="0"/>
              <w:marRight w:val="0"/>
              <w:marTop w:val="0"/>
              <w:marBottom w:val="0"/>
              <w:divBdr>
                <w:top w:val="none" w:sz="0" w:space="0" w:color="auto"/>
                <w:left w:val="none" w:sz="0" w:space="0" w:color="auto"/>
                <w:bottom w:val="none" w:sz="0" w:space="0" w:color="auto"/>
                <w:right w:val="none" w:sz="0" w:space="0" w:color="auto"/>
              </w:divBdr>
            </w:div>
            <w:div w:id="1496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6367">
      <w:bodyDiv w:val="1"/>
      <w:marLeft w:val="0"/>
      <w:marRight w:val="0"/>
      <w:marTop w:val="0"/>
      <w:marBottom w:val="0"/>
      <w:divBdr>
        <w:top w:val="none" w:sz="0" w:space="0" w:color="auto"/>
        <w:left w:val="none" w:sz="0" w:space="0" w:color="auto"/>
        <w:bottom w:val="none" w:sz="0" w:space="0" w:color="auto"/>
        <w:right w:val="none" w:sz="0" w:space="0" w:color="auto"/>
      </w:divBdr>
      <w:divsChild>
        <w:div w:id="1684279128">
          <w:marLeft w:val="0"/>
          <w:marRight w:val="0"/>
          <w:marTop w:val="0"/>
          <w:marBottom w:val="0"/>
          <w:divBdr>
            <w:top w:val="none" w:sz="0" w:space="0" w:color="auto"/>
            <w:left w:val="none" w:sz="0" w:space="0" w:color="auto"/>
            <w:bottom w:val="none" w:sz="0" w:space="0" w:color="auto"/>
            <w:right w:val="none" w:sz="0" w:space="0" w:color="auto"/>
          </w:divBdr>
          <w:divsChild>
            <w:div w:id="1293751544">
              <w:marLeft w:val="0"/>
              <w:marRight w:val="0"/>
              <w:marTop w:val="0"/>
              <w:marBottom w:val="0"/>
              <w:divBdr>
                <w:top w:val="none" w:sz="0" w:space="0" w:color="auto"/>
                <w:left w:val="none" w:sz="0" w:space="0" w:color="auto"/>
                <w:bottom w:val="none" w:sz="0" w:space="0" w:color="auto"/>
                <w:right w:val="none" w:sz="0" w:space="0" w:color="auto"/>
              </w:divBdr>
            </w:div>
            <w:div w:id="2012833433">
              <w:marLeft w:val="0"/>
              <w:marRight w:val="0"/>
              <w:marTop w:val="0"/>
              <w:marBottom w:val="0"/>
              <w:divBdr>
                <w:top w:val="none" w:sz="0" w:space="0" w:color="auto"/>
                <w:left w:val="none" w:sz="0" w:space="0" w:color="auto"/>
                <w:bottom w:val="none" w:sz="0" w:space="0" w:color="auto"/>
                <w:right w:val="none" w:sz="0" w:space="0" w:color="auto"/>
              </w:divBdr>
            </w:div>
            <w:div w:id="3506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4453">
      <w:bodyDiv w:val="1"/>
      <w:marLeft w:val="0"/>
      <w:marRight w:val="0"/>
      <w:marTop w:val="0"/>
      <w:marBottom w:val="0"/>
      <w:divBdr>
        <w:top w:val="none" w:sz="0" w:space="0" w:color="auto"/>
        <w:left w:val="none" w:sz="0" w:space="0" w:color="auto"/>
        <w:bottom w:val="none" w:sz="0" w:space="0" w:color="auto"/>
        <w:right w:val="none" w:sz="0" w:space="0" w:color="auto"/>
      </w:divBdr>
      <w:divsChild>
        <w:div w:id="1986349329">
          <w:marLeft w:val="0"/>
          <w:marRight w:val="0"/>
          <w:marTop w:val="0"/>
          <w:marBottom w:val="0"/>
          <w:divBdr>
            <w:top w:val="none" w:sz="0" w:space="0" w:color="auto"/>
            <w:left w:val="none" w:sz="0" w:space="0" w:color="auto"/>
            <w:bottom w:val="none" w:sz="0" w:space="0" w:color="auto"/>
            <w:right w:val="none" w:sz="0" w:space="0" w:color="auto"/>
          </w:divBdr>
          <w:divsChild>
            <w:div w:id="2013218075">
              <w:marLeft w:val="0"/>
              <w:marRight w:val="0"/>
              <w:marTop w:val="0"/>
              <w:marBottom w:val="0"/>
              <w:divBdr>
                <w:top w:val="none" w:sz="0" w:space="0" w:color="auto"/>
                <w:left w:val="none" w:sz="0" w:space="0" w:color="auto"/>
                <w:bottom w:val="none" w:sz="0" w:space="0" w:color="auto"/>
                <w:right w:val="none" w:sz="0" w:space="0" w:color="auto"/>
              </w:divBdr>
            </w:div>
            <w:div w:id="1027682175">
              <w:marLeft w:val="0"/>
              <w:marRight w:val="0"/>
              <w:marTop w:val="0"/>
              <w:marBottom w:val="0"/>
              <w:divBdr>
                <w:top w:val="none" w:sz="0" w:space="0" w:color="auto"/>
                <w:left w:val="none" w:sz="0" w:space="0" w:color="auto"/>
                <w:bottom w:val="none" w:sz="0" w:space="0" w:color="auto"/>
                <w:right w:val="none" w:sz="0" w:space="0" w:color="auto"/>
              </w:divBdr>
            </w:div>
            <w:div w:id="556012402">
              <w:marLeft w:val="0"/>
              <w:marRight w:val="0"/>
              <w:marTop w:val="0"/>
              <w:marBottom w:val="0"/>
              <w:divBdr>
                <w:top w:val="none" w:sz="0" w:space="0" w:color="auto"/>
                <w:left w:val="none" w:sz="0" w:space="0" w:color="auto"/>
                <w:bottom w:val="none" w:sz="0" w:space="0" w:color="auto"/>
                <w:right w:val="none" w:sz="0" w:space="0" w:color="auto"/>
              </w:divBdr>
            </w:div>
            <w:div w:id="85811078">
              <w:marLeft w:val="0"/>
              <w:marRight w:val="0"/>
              <w:marTop w:val="0"/>
              <w:marBottom w:val="0"/>
              <w:divBdr>
                <w:top w:val="none" w:sz="0" w:space="0" w:color="auto"/>
                <w:left w:val="none" w:sz="0" w:space="0" w:color="auto"/>
                <w:bottom w:val="none" w:sz="0" w:space="0" w:color="auto"/>
                <w:right w:val="none" w:sz="0" w:space="0" w:color="auto"/>
              </w:divBdr>
            </w:div>
            <w:div w:id="9327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5246">
      <w:bodyDiv w:val="1"/>
      <w:marLeft w:val="0"/>
      <w:marRight w:val="0"/>
      <w:marTop w:val="0"/>
      <w:marBottom w:val="0"/>
      <w:divBdr>
        <w:top w:val="none" w:sz="0" w:space="0" w:color="auto"/>
        <w:left w:val="none" w:sz="0" w:space="0" w:color="auto"/>
        <w:bottom w:val="none" w:sz="0" w:space="0" w:color="auto"/>
        <w:right w:val="none" w:sz="0" w:space="0" w:color="auto"/>
      </w:divBdr>
      <w:divsChild>
        <w:div w:id="968390021">
          <w:marLeft w:val="0"/>
          <w:marRight w:val="0"/>
          <w:marTop w:val="0"/>
          <w:marBottom w:val="0"/>
          <w:divBdr>
            <w:top w:val="none" w:sz="0" w:space="0" w:color="auto"/>
            <w:left w:val="none" w:sz="0" w:space="0" w:color="auto"/>
            <w:bottom w:val="none" w:sz="0" w:space="0" w:color="auto"/>
            <w:right w:val="none" w:sz="0" w:space="0" w:color="auto"/>
          </w:divBdr>
          <w:divsChild>
            <w:div w:id="2125729724">
              <w:marLeft w:val="0"/>
              <w:marRight w:val="0"/>
              <w:marTop w:val="0"/>
              <w:marBottom w:val="0"/>
              <w:divBdr>
                <w:top w:val="none" w:sz="0" w:space="0" w:color="auto"/>
                <w:left w:val="none" w:sz="0" w:space="0" w:color="auto"/>
                <w:bottom w:val="none" w:sz="0" w:space="0" w:color="auto"/>
                <w:right w:val="none" w:sz="0" w:space="0" w:color="auto"/>
              </w:divBdr>
            </w:div>
            <w:div w:id="678045195">
              <w:marLeft w:val="0"/>
              <w:marRight w:val="0"/>
              <w:marTop w:val="0"/>
              <w:marBottom w:val="0"/>
              <w:divBdr>
                <w:top w:val="none" w:sz="0" w:space="0" w:color="auto"/>
                <w:left w:val="none" w:sz="0" w:space="0" w:color="auto"/>
                <w:bottom w:val="none" w:sz="0" w:space="0" w:color="auto"/>
                <w:right w:val="none" w:sz="0" w:space="0" w:color="auto"/>
              </w:divBdr>
            </w:div>
            <w:div w:id="2043313758">
              <w:marLeft w:val="0"/>
              <w:marRight w:val="0"/>
              <w:marTop w:val="0"/>
              <w:marBottom w:val="0"/>
              <w:divBdr>
                <w:top w:val="none" w:sz="0" w:space="0" w:color="auto"/>
                <w:left w:val="none" w:sz="0" w:space="0" w:color="auto"/>
                <w:bottom w:val="none" w:sz="0" w:space="0" w:color="auto"/>
                <w:right w:val="none" w:sz="0" w:space="0" w:color="auto"/>
              </w:divBdr>
            </w:div>
            <w:div w:id="262763022">
              <w:marLeft w:val="0"/>
              <w:marRight w:val="0"/>
              <w:marTop w:val="0"/>
              <w:marBottom w:val="0"/>
              <w:divBdr>
                <w:top w:val="none" w:sz="0" w:space="0" w:color="auto"/>
                <w:left w:val="none" w:sz="0" w:space="0" w:color="auto"/>
                <w:bottom w:val="none" w:sz="0" w:space="0" w:color="auto"/>
                <w:right w:val="none" w:sz="0" w:space="0" w:color="auto"/>
              </w:divBdr>
            </w:div>
            <w:div w:id="623535435">
              <w:marLeft w:val="0"/>
              <w:marRight w:val="0"/>
              <w:marTop w:val="0"/>
              <w:marBottom w:val="0"/>
              <w:divBdr>
                <w:top w:val="none" w:sz="0" w:space="0" w:color="auto"/>
                <w:left w:val="none" w:sz="0" w:space="0" w:color="auto"/>
                <w:bottom w:val="none" w:sz="0" w:space="0" w:color="auto"/>
                <w:right w:val="none" w:sz="0" w:space="0" w:color="auto"/>
              </w:divBdr>
            </w:div>
            <w:div w:id="505830781">
              <w:marLeft w:val="0"/>
              <w:marRight w:val="0"/>
              <w:marTop w:val="0"/>
              <w:marBottom w:val="0"/>
              <w:divBdr>
                <w:top w:val="none" w:sz="0" w:space="0" w:color="auto"/>
                <w:left w:val="none" w:sz="0" w:space="0" w:color="auto"/>
                <w:bottom w:val="none" w:sz="0" w:space="0" w:color="auto"/>
                <w:right w:val="none" w:sz="0" w:space="0" w:color="auto"/>
              </w:divBdr>
            </w:div>
            <w:div w:id="821771720">
              <w:marLeft w:val="0"/>
              <w:marRight w:val="0"/>
              <w:marTop w:val="0"/>
              <w:marBottom w:val="0"/>
              <w:divBdr>
                <w:top w:val="none" w:sz="0" w:space="0" w:color="auto"/>
                <w:left w:val="none" w:sz="0" w:space="0" w:color="auto"/>
                <w:bottom w:val="none" w:sz="0" w:space="0" w:color="auto"/>
                <w:right w:val="none" w:sz="0" w:space="0" w:color="auto"/>
              </w:divBdr>
            </w:div>
            <w:div w:id="1294795665">
              <w:marLeft w:val="0"/>
              <w:marRight w:val="0"/>
              <w:marTop w:val="0"/>
              <w:marBottom w:val="0"/>
              <w:divBdr>
                <w:top w:val="none" w:sz="0" w:space="0" w:color="auto"/>
                <w:left w:val="none" w:sz="0" w:space="0" w:color="auto"/>
                <w:bottom w:val="none" w:sz="0" w:space="0" w:color="auto"/>
                <w:right w:val="none" w:sz="0" w:space="0" w:color="auto"/>
              </w:divBdr>
            </w:div>
            <w:div w:id="1328250021">
              <w:marLeft w:val="0"/>
              <w:marRight w:val="0"/>
              <w:marTop w:val="0"/>
              <w:marBottom w:val="0"/>
              <w:divBdr>
                <w:top w:val="none" w:sz="0" w:space="0" w:color="auto"/>
                <w:left w:val="none" w:sz="0" w:space="0" w:color="auto"/>
                <w:bottom w:val="none" w:sz="0" w:space="0" w:color="auto"/>
                <w:right w:val="none" w:sz="0" w:space="0" w:color="auto"/>
              </w:divBdr>
            </w:div>
            <w:div w:id="27533823">
              <w:marLeft w:val="0"/>
              <w:marRight w:val="0"/>
              <w:marTop w:val="0"/>
              <w:marBottom w:val="0"/>
              <w:divBdr>
                <w:top w:val="none" w:sz="0" w:space="0" w:color="auto"/>
                <w:left w:val="none" w:sz="0" w:space="0" w:color="auto"/>
                <w:bottom w:val="none" w:sz="0" w:space="0" w:color="auto"/>
                <w:right w:val="none" w:sz="0" w:space="0" w:color="auto"/>
              </w:divBdr>
            </w:div>
            <w:div w:id="1232154055">
              <w:marLeft w:val="0"/>
              <w:marRight w:val="0"/>
              <w:marTop w:val="0"/>
              <w:marBottom w:val="0"/>
              <w:divBdr>
                <w:top w:val="none" w:sz="0" w:space="0" w:color="auto"/>
                <w:left w:val="none" w:sz="0" w:space="0" w:color="auto"/>
                <w:bottom w:val="none" w:sz="0" w:space="0" w:color="auto"/>
                <w:right w:val="none" w:sz="0" w:space="0" w:color="auto"/>
              </w:divBdr>
            </w:div>
            <w:div w:id="1125074900">
              <w:marLeft w:val="0"/>
              <w:marRight w:val="0"/>
              <w:marTop w:val="0"/>
              <w:marBottom w:val="0"/>
              <w:divBdr>
                <w:top w:val="none" w:sz="0" w:space="0" w:color="auto"/>
                <w:left w:val="none" w:sz="0" w:space="0" w:color="auto"/>
                <w:bottom w:val="none" w:sz="0" w:space="0" w:color="auto"/>
                <w:right w:val="none" w:sz="0" w:space="0" w:color="auto"/>
              </w:divBdr>
            </w:div>
            <w:div w:id="751702651">
              <w:marLeft w:val="0"/>
              <w:marRight w:val="0"/>
              <w:marTop w:val="0"/>
              <w:marBottom w:val="0"/>
              <w:divBdr>
                <w:top w:val="none" w:sz="0" w:space="0" w:color="auto"/>
                <w:left w:val="none" w:sz="0" w:space="0" w:color="auto"/>
                <w:bottom w:val="none" w:sz="0" w:space="0" w:color="auto"/>
                <w:right w:val="none" w:sz="0" w:space="0" w:color="auto"/>
              </w:divBdr>
            </w:div>
            <w:div w:id="256133485">
              <w:marLeft w:val="0"/>
              <w:marRight w:val="0"/>
              <w:marTop w:val="0"/>
              <w:marBottom w:val="0"/>
              <w:divBdr>
                <w:top w:val="none" w:sz="0" w:space="0" w:color="auto"/>
                <w:left w:val="none" w:sz="0" w:space="0" w:color="auto"/>
                <w:bottom w:val="none" w:sz="0" w:space="0" w:color="auto"/>
                <w:right w:val="none" w:sz="0" w:space="0" w:color="auto"/>
              </w:divBdr>
            </w:div>
            <w:div w:id="2003583792">
              <w:marLeft w:val="0"/>
              <w:marRight w:val="0"/>
              <w:marTop w:val="0"/>
              <w:marBottom w:val="0"/>
              <w:divBdr>
                <w:top w:val="none" w:sz="0" w:space="0" w:color="auto"/>
                <w:left w:val="none" w:sz="0" w:space="0" w:color="auto"/>
                <w:bottom w:val="none" w:sz="0" w:space="0" w:color="auto"/>
                <w:right w:val="none" w:sz="0" w:space="0" w:color="auto"/>
              </w:divBdr>
            </w:div>
            <w:div w:id="821232908">
              <w:marLeft w:val="0"/>
              <w:marRight w:val="0"/>
              <w:marTop w:val="0"/>
              <w:marBottom w:val="0"/>
              <w:divBdr>
                <w:top w:val="none" w:sz="0" w:space="0" w:color="auto"/>
                <w:left w:val="none" w:sz="0" w:space="0" w:color="auto"/>
                <w:bottom w:val="none" w:sz="0" w:space="0" w:color="auto"/>
                <w:right w:val="none" w:sz="0" w:space="0" w:color="auto"/>
              </w:divBdr>
            </w:div>
            <w:div w:id="866482833">
              <w:marLeft w:val="0"/>
              <w:marRight w:val="0"/>
              <w:marTop w:val="0"/>
              <w:marBottom w:val="0"/>
              <w:divBdr>
                <w:top w:val="none" w:sz="0" w:space="0" w:color="auto"/>
                <w:left w:val="none" w:sz="0" w:space="0" w:color="auto"/>
                <w:bottom w:val="none" w:sz="0" w:space="0" w:color="auto"/>
                <w:right w:val="none" w:sz="0" w:space="0" w:color="auto"/>
              </w:divBdr>
            </w:div>
            <w:div w:id="957100843">
              <w:marLeft w:val="0"/>
              <w:marRight w:val="0"/>
              <w:marTop w:val="0"/>
              <w:marBottom w:val="0"/>
              <w:divBdr>
                <w:top w:val="none" w:sz="0" w:space="0" w:color="auto"/>
                <w:left w:val="none" w:sz="0" w:space="0" w:color="auto"/>
                <w:bottom w:val="none" w:sz="0" w:space="0" w:color="auto"/>
                <w:right w:val="none" w:sz="0" w:space="0" w:color="auto"/>
              </w:divBdr>
            </w:div>
            <w:div w:id="185942922">
              <w:marLeft w:val="0"/>
              <w:marRight w:val="0"/>
              <w:marTop w:val="0"/>
              <w:marBottom w:val="0"/>
              <w:divBdr>
                <w:top w:val="none" w:sz="0" w:space="0" w:color="auto"/>
                <w:left w:val="none" w:sz="0" w:space="0" w:color="auto"/>
                <w:bottom w:val="none" w:sz="0" w:space="0" w:color="auto"/>
                <w:right w:val="none" w:sz="0" w:space="0" w:color="auto"/>
              </w:divBdr>
            </w:div>
            <w:div w:id="718817521">
              <w:marLeft w:val="0"/>
              <w:marRight w:val="0"/>
              <w:marTop w:val="0"/>
              <w:marBottom w:val="0"/>
              <w:divBdr>
                <w:top w:val="none" w:sz="0" w:space="0" w:color="auto"/>
                <w:left w:val="none" w:sz="0" w:space="0" w:color="auto"/>
                <w:bottom w:val="none" w:sz="0" w:space="0" w:color="auto"/>
                <w:right w:val="none" w:sz="0" w:space="0" w:color="auto"/>
              </w:divBdr>
            </w:div>
            <w:div w:id="1551652535">
              <w:marLeft w:val="0"/>
              <w:marRight w:val="0"/>
              <w:marTop w:val="0"/>
              <w:marBottom w:val="0"/>
              <w:divBdr>
                <w:top w:val="none" w:sz="0" w:space="0" w:color="auto"/>
                <w:left w:val="none" w:sz="0" w:space="0" w:color="auto"/>
                <w:bottom w:val="none" w:sz="0" w:space="0" w:color="auto"/>
                <w:right w:val="none" w:sz="0" w:space="0" w:color="auto"/>
              </w:divBdr>
            </w:div>
            <w:div w:id="1198471168">
              <w:marLeft w:val="0"/>
              <w:marRight w:val="0"/>
              <w:marTop w:val="0"/>
              <w:marBottom w:val="0"/>
              <w:divBdr>
                <w:top w:val="none" w:sz="0" w:space="0" w:color="auto"/>
                <w:left w:val="none" w:sz="0" w:space="0" w:color="auto"/>
                <w:bottom w:val="none" w:sz="0" w:space="0" w:color="auto"/>
                <w:right w:val="none" w:sz="0" w:space="0" w:color="auto"/>
              </w:divBdr>
            </w:div>
            <w:div w:id="16312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7529">
      <w:bodyDiv w:val="1"/>
      <w:marLeft w:val="0"/>
      <w:marRight w:val="0"/>
      <w:marTop w:val="0"/>
      <w:marBottom w:val="0"/>
      <w:divBdr>
        <w:top w:val="none" w:sz="0" w:space="0" w:color="auto"/>
        <w:left w:val="none" w:sz="0" w:space="0" w:color="auto"/>
        <w:bottom w:val="none" w:sz="0" w:space="0" w:color="auto"/>
        <w:right w:val="none" w:sz="0" w:space="0" w:color="auto"/>
      </w:divBdr>
      <w:divsChild>
        <w:div w:id="1097873376">
          <w:marLeft w:val="0"/>
          <w:marRight w:val="0"/>
          <w:marTop w:val="0"/>
          <w:marBottom w:val="0"/>
          <w:divBdr>
            <w:top w:val="none" w:sz="0" w:space="0" w:color="auto"/>
            <w:left w:val="none" w:sz="0" w:space="0" w:color="auto"/>
            <w:bottom w:val="none" w:sz="0" w:space="0" w:color="auto"/>
            <w:right w:val="none" w:sz="0" w:space="0" w:color="auto"/>
          </w:divBdr>
          <w:divsChild>
            <w:div w:id="11152986">
              <w:marLeft w:val="0"/>
              <w:marRight w:val="0"/>
              <w:marTop w:val="0"/>
              <w:marBottom w:val="0"/>
              <w:divBdr>
                <w:top w:val="none" w:sz="0" w:space="0" w:color="auto"/>
                <w:left w:val="none" w:sz="0" w:space="0" w:color="auto"/>
                <w:bottom w:val="none" w:sz="0" w:space="0" w:color="auto"/>
                <w:right w:val="none" w:sz="0" w:space="0" w:color="auto"/>
              </w:divBdr>
            </w:div>
            <w:div w:id="1531331362">
              <w:marLeft w:val="0"/>
              <w:marRight w:val="0"/>
              <w:marTop w:val="0"/>
              <w:marBottom w:val="0"/>
              <w:divBdr>
                <w:top w:val="none" w:sz="0" w:space="0" w:color="auto"/>
                <w:left w:val="none" w:sz="0" w:space="0" w:color="auto"/>
                <w:bottom w:val="none" w:sz="0" w:space="0" w:color="auto"/>
                <w:right w:val="none" w:sz="0" w:space="0" w:color="auto"/>
              </w:divBdr>
            </w:div>
            <w:div w:id="121075491">
              <w:marLeft w:val="0"/>
              <w:marRight w:val="0"/>
              <w:marTop w:val="0"/>
              <w:marBottom w:val="0"/>
              <w:divBdr>
                <w:top w:val="none" w:sz="0" w:space="0" w:color="auto"/>
                <w:left w:val="none" w:sz="0" w:space="0" w:color="auto"/>
                <w:bottom w:val="none" w:sz="0" w:space="0" w:color="auto"/>
                <w:right w:val="none" w:sz="0" w:space="0" w:color="auto"/>
              </w:divBdr>
            </w:div>
            <w:div w:id="374429524">
              <w:marLeft w:val="0"/>
              <w:marRight w:val="0"/>
              <w:marTop w:val="0"/>
              <w:marBottom w:val="0"/>
              <w:divBdr>
                <w:top w:val="none" w:sz="0" w:space="0" w:color="auto"/>
                <w:left w:val="none" w:sz="0" w:space="0" w:color="auto"/>
                <w:bottom w:val="none" w:sz="0" w:space="0" w:color="auto"/>
                <w:right w:val="none" w:sz="0" w:space="0" w:color="auto"/>
              </w:divBdr>
            </w:div>
            <w:div w:id="1162428661">
              <w:marLeft w:val="0"/>
              <w:marRight w:val="0"/>
              <w:marTop w:val="0"/>
              <w:marBottom w:val="0"/>
              <w:divBdr>
                <w:top w:val="none" w:sz="0" w:space="0" w:color="auto"/>
                <w:left w:val="none" w:sz="0" w:space="0" w:color="auto"/>
                <w:bottom w:val="none" w:sz="0" w:space="0" w:color="auto"/>
                <w:right w:val="none" w:sz="0" w:space="0" w:color="auto"/>
              </w:divBdr>
            </w:div>
            <w:div w:id="532036419">
              <w:marLeft w:val="0"/>
              <w:marRight w:val="0"/>
              <w:marTop w:val="0"/>
              <w:marBottom w:val="0"/>
              <w:divBdr>
                <w:top w:val="none" w:sz="0" w:space="0" w:color="auto"/>
                <w:left w:val="none" w:sz="0" w:space="0" w:color="auto"/>
                <w:bottom w:val="none" w:sz="0" w:space="0" w:color="auto"/>
                <w:right w:val="none" w:sz="0" w:space="0" w:color="auto"/>
              </w:divBdr>
            </w:div>
            <w:div w:id="579680376">
              <w:marLeft w:val="0"/>
              <w:marRight w:val="0"/>
              <w:marTop w:val="0"/>
              <w:marBottom w:val="0"/>
              <w:divBdr>
                <w:top w:val="none" w:sz="0" w:space="0" w:color="auto"/>
                <w:left w:val="none" w:sz="0" w:space="0" w:color="auto"/>
                <w:bottom w:val="none" w:sz="0" w:space="0" w:color="auto"/>
                <w:right w:val="none" w:sz="0" w:space="0" w:color="auto"/>
              </w:divBdr>
            </w:div>
            <w:div w:id="1834637652">
              <w:marLeft w:val="0"/>
              <w:marRight w:val="0"/>
              <w:marTop w:val="0"/>
              <w:marBottom w:val="0"/>
              <w:divBdr>
                <w:top w:val="none" w:sz="0" w:space="0" w:color="auto"/>
                <w:left w:val="none" w:sz="0" w:space="0" w:color="auto"/>
                <w:bottom w:val="none" w:sz="0" w:space="0" w:color="auto"/>
                <w:right w:val="none" w:sz="0" w:space="0" w:color="auto"/>
              </w:divBdr>
            </w:div>
            <w:div w:id="410353592">
              <w:marLeft w:val="0"/>
              <w:marRight w:val="0"/>
              <w:marTop w:val="0"/>
              <w:marBottom w:val="0"/>
              <w:divBdr>
                <w:top w:val="none" w:sz="0" w:space="0" w:color="auto"/>
                <w:left w:val="none" w:sz="0" w:space="0" w:color="auto"/>
                <w:bottom w:val="none" w:sz="0" w:space="0" w:color="auto"/>
                <w:right w:val="none" w:sz="0" w:space="0" w:color="auto"/>
              </w:divBdr>
            </w:div>
            <w:div w:id="1953856570">
              <w:marLeft w:val="0"/>
              <w:marRight w:val="0"/>
              <w:marTop w:val="0"/>
              <w:marBottom w:val="0"/>
              <w:divBdr>
                <w:top w:val="none" w:sz="0" w:space="0" w:color="auto"/>
                <w:left w:val="none" w:sz="0" w:space="0" w:color="auto"/>
                <w:bottom w:val="none" w:sz="0" w:space="0" w:color="auto"/>
                <w:right w:val="none" w:sz="0" w:space="0" w:color="auto"/>
              </w:divBdr>
            </w:div>
            <w:div w:id="1820731914">
              <w:marLeft w:val="0"/>
              <w:marRight w:val="0"/>
              <w:marTop w:val="0"/>
              <w:marBottom w:val="0"/>
              <w:divBdr>
                <w:top w:val="none" w:sz="0" w:space="0" w:color="auto"/>
                <w:left w:val="none" w:sz="0" w:space="0" w:color="auto"/>
                <w:bottom w:val="none" w:sz="0" w:space="0" w:color="auto"/>
                <w:right w:val="none" w:sz="0" w:space="0" w:color="auto"/>
              </w:divBdr>
            </w:div>
            <w:div w:id="13530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280">
      <w:bodyDiv w:val="1"/>
      <w:marLeft w:val="0"/>
      <w:marRight w:val="0"/>
      <w:marTop w:val="0"/>
      <w:marBottom w:val="0"/>
      <w:divBdr>
        <w:top w:val="none" w:sz="0" w:space="0" w:color="auto"/>
        <w:left w:val="none" w:sz="0" w:space="0" w:color="auto"/>
        <w:bottom w:val="none" w:sz="0" w:space="0" w:color="auto"/>
        <w:right w:val="none" w:sz="0" w:space="0" w:color="auto"/>
      </w:divBdr>
      <w:divsChild>
        <w:div w:id="272202525">
          <w:marLeft w:val="0"/>
          <w:marRight w:val="0"/>
          <w:marTop w:val="0"/>
          <w:marBottom w:val="0"/>
          <w:divBdr>
            <w:top w:val="none" w:sz="0" w:space="0" w:color="auto"/>
            <w:left w:val="none" w:sz="0" w:space="0" w:color="auto"/>
            <w:bottom w:val="none" w:sz="0" w:space="0" w:color="auto"/>
            <w:right w:val="none" w:sz="0" w:space="0" w:color="auto"/>
          </w:divBdr>
          <w:divsChild>
            <w:div w:id="971786514">
              <w:marLeft w:val="0"/>
              <w:marRight w:val="0"/>
              <w:marTop w:val="0"/>
              <w:marBottom w:val="0"/>
              <w:divBdr>
                <w:top w:val="none" w:sz="0" w:space="0" w:color="auto"/>
                <w:left w:val="none" w:sz="0" w:space="0" w:color="auto"/>
                <w:bottom w:val="none" w:sz="0" w:space="0" w:color="auto"/>
                <w:right w:val="none" w:sz="0" w:space="0" w:color="auto"/>
              </w:divBdr>
            </w:div>
            <w:div w:id="1464156145">
              <w:marLeft w:val="0"/>
              <w:marRight w:val="0"/>
              <w:marTop w:val="0"/>
              <w:marBottom w:val="0"/>
              <w:divBdr>
                <w:top w:val="none" w:sz="0" w:space="0" w:color="auto"/>
                <w:left w:val="none" w:sz="0" w:space="0" w:color="auto"/>
                <w:bottom w:val="none" w:sz="0" w:space="0" w:color="auto"/>
                <w:right w:val="none" w:sz="0" w:space="0" w:color="auto"/>
              </w:divBdr>
            </w:div>
            <w:div w:id="597449742">
              <w:marLeft w:val="0"/>
              <w:marRight w:val="0"/>
              <w:marTop w:val="0"/>
              <w:marBottom w:val="0"/>
              <w:divBdr>
                <w:top w:val="none" w:sz="0" w:space="0" w:color="auto"/>
                <w:left w:val="none" w:sz="0" w:space="0" w:color="auto"/>
                <w:bottom w:val="none" w:sz="0" w:space="0" w:color="auto"/>
                <w:right w:val="none" w:sz="0" w:space="0" w:color="auto"/>
              </w:divBdr>
            </w:div>
            <w:div w:id="434864083">
              <w:marLeft w:val="0"/>
              <w:marRight w:val="0"/>
              <w:marTop w:val="0"/>
              <w:marBottom w:val="0"/>
              <w:divBdr>
                <w:top w:val="none" w:sz="0" w:space="0" w:color="auto"/>
                <w:left w:val="none" w:sz="0" w:space="0" w:color="auto"/>
                <w:bottom w:val="none" w:sz="0" w:space="0" w:color="auto"/>
                <w:right w:val="none" w:sz="0" w:space="0" w:color="auto"/>
              </w:divBdr>
            </w:div>
            <w:div w:id="18284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036">
      <w:bodyDiv w:val="1"/>
      <w:marLeft w:val="0"/>
      <w:marRight w:val="0"/>
      <w:marTop w:val="0"/>
      <w:marBottom w:val="0"/>
      <w:divBdr>
        <w:top w:val="none" w:sz="0" w:space="0" w:color="auto"/>
        <w:left w:val="none" w:sz="0" w:space="0" w:color="auto"/>
        <w:bottom w:val="none" w:sz="0" w:space="0" w:color="auto"/>
        <w:right w:val="none" w:sz="0" w:space="0" w:color="auto"/>
      </w:divBdr>
      <w:divsChild>
        <w:div w:id="1425802011">
          <w:marLeft w:val="0"/>
          <w:marRight w:val="0"/>
          <w:marTop w:val="0"/>
          <w:marBottom w:val="0"/>
          <w:divBdr>
            <w:top w:val="none" w:sz="0" w:space="0" w:color="auto"/>
            <w:left w:val="none" w:sz="0" w:space="0" w:color="auto"/>
            <w:bottom w:val="none" w:sz="0" w:space="0" w:color="auto"/>
            <w:right w:val="none" w:sz="0" w:space="0" w:color="auto"/>
          </w:divBdr>
          <w:divsChild>
            <w:div w:id="764305738">
              <w:marLeft w:val="0"/>
              <w:marRight w:val="0"/>
              <w:marTop w:val="0"/>
              <w:marBottom w:val="0"/>
              <w:divBdr>
                <w:top w:val="none" w:sz="0" w:space="0" w:color="auto"/>
                <w:left w:val="none" w:sz="0" w:space="0" w:color="auto"/>
                <w:bottom w:val="none" w:sz="0" w:space="0" w:color="auto"/>
                <w:right w:val="none" w:sz="0" w:space="0" w:color="auto"/>
              </w:divBdr>
            </w:div>
            <w:div w:id="1743330854">
              <w:marLeft w:val="0"/>
              <w:marRight w:val="0"/>
              <w:marTop w:val="0"/>
              <w:marBottom w:val="0"/>
              <w:divBdr>
                <w:top w:val="none" w:sz="0" w:space="0" w:color="auto"/>
                <w:left w:val="none" w:sz="0" w:space="0" w:color="auto"/>
                <w:bottom w:val="none" w:sz="0" w:space="0" w:color="auto"/>
                <w:right w:val="none" w:sz="0" w:space="0" w:color="auto"/>
              </w:divBdr>
            </w:div>
            <w:div w:id="954554560">
              <w:marLeft w:val="0"/>
              <w:marRight w:val="0"/>
              <w:marTop w:val="0"/>
              <w:marBottom w:val="0"/>
              <w:divBdr>
                <w:top w:val="none" w:sz="0" w:space="0" w:color="auto"/>
                <w:left w:val="none" w:sz="0" w:space="0" w:color="auto"/>
                <w:bottom w:val="none" w:sz="0" w:space="0" w:color="auto"/>
                <w:right w:val="none" w:sz="0" w:space="0" w:color="auto"/>
              </w:divBdr>
            </w:div>
            <w:div w:id="16837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9683">
      <w:bodyDiv w:val="1"/>
      <w:marLeft w:val="0"/>
      <w:marRight w:val="0"/>
      <w:marTop w:val="0"/>
      <w:marBottom w:val="0"/>
      <w:divBdr>
        <w:top w:val="none" w:sz="0" w:space="0" w:color="auto"/>
        <w:left w:val="none" w:sz="0" w:space="0" w:color="auto"/>
        <w:bottom w:val="none" w:sz="0" w:space="0" w:color="auto"/>
        <w:right w:val="none" w:sz="0" w:space="0" w:color="auto"/>
      </w:divBdr>
      <w:divsChild>
        <w:div w:id="1177620536">
          <w:marLeft w:val="0"/>
          <w:marRight w:val="0"/>
          <w:marTop w:val="0"/>
          <w:marBottom w:val="0"/>
          <w:divBdr>
            <w:top w:val="none" w:sz="0" w:space="0" w:color="auto"/>
            <w:left w:val="none" w:sz="0" w:space="0" w:color="auto"/>
            <w:bottom w:val="none" w:sz="0" w:space="0" w:color="auto"/>
            <w:right w:val="none" w:sz="0" w:space="0" w:color="auto"/>
          </w:divBdr>
          <w:divsChild>
            <w:div w:id="1439448672">
              <w:marLeft w:val="0"/>
              <w:marRight w:val="0"/>
              <w:marTop w:val="0"/>
              <w:marBottom w:val="0"/>
              <w:divBdr>
                <w:top w:val="none" w:sz="0" w:space="0" w:color="auto"/>
                <w:left w:val="none" w:sz="0" w:space="0" w:color="auto"/>
                <w:bottom w:val="none" w:sz="0" w:space="0" w:color="auto"/>
                <w:right w:val="none" w:sz="0" w:space="0" w:color="auto"/>
              </w:divBdr>
            </w:div>
            <w:div w:id="233976547">
              <w:marLeft w:val="0"/>
              <w:marRight w:val="0"/>
              <w:marTop w:val="0"/>
              <w:marBottom w:val="0"/>
              <w:divBdr>
                <w:top w:val="none" w:sz="0" w:space="0" w:color="auto"/>
                <w:left w:val="none" w:sz="0" w:space="0" w:color="auto"/>
                <w:bottom w:val="none" w:sz="0" w:space="0" w:color="auto"/>
                <w:right w:val="none" w:sz="0" w:space="0" w:color="auto"/>
              </w:divBdr>
            </w:div>
            <w:div w:id="1457748077">
              <w:marLeft w:val="0"/>
              <w:marRight w:val="0"/>
              <w:marTop w:val="0"/>
              <w:marBottom w:val="0"/>
              <w:divBdr>
                <w:top w:val="none" w:sz="0" w:space="0" w:color="auto"/>
                <w:left w:val="none" w:sz="0" w:space="0" w:color="auto"/>
                <w:bottom w:val="none" w:sz="0" w:space="0" w:color="auto"/>
                <w:right w:val="none" w:sz="0" w:space="0" w:color="auto"/>
              </w:divBdr>
            </w:div>
            <w:div w:id="2706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4606">
      <w:bodyDiv w:val="1"/>
      <w:marLeft w:val="0"/>
      <w:marRight w:val="0"/>
      <w:marTop w:val="0"/>
      <w:marBottom w:val="0"/>
      <w:divBdr>
        <w:top w:val="none" w:sz="0" w:space="0" w:color="auto"/>
        <w:left w:val="none" w:sz="0" w:space="0" w:color="auto"/>
        <w:bottom w:val="none" w:sz="0" w:space="0" w:color="auto"/>
        <w:right w:val="none" w:sz="0" w:space="0" w:color="auto"/>
      </w:divBdr>
      <w:divsChild>
        <w:div w:id="1753424957">
          <w:marLeft w:val="0"/>
          <w:marRight w:val="0"/>
          <w:marTop w:val="0"/>
          <w:marBottom w:val="0"/>
          <w:divBdr>
            <w:top w:val="none" w:sz="0" w:space="0" w:color="auto"/>
            <w:left w:val="none" w:sz="0" w:space="0" w:color="auto"/>
            <w:bottom w:val="none" w:sz="0" w:space="0" w:color="auto"/>
            <w:right w:val="none" w:sz="0" w:space="0" w:color="auto"/>
          </w:divBdr>
          <w:divsChild>
            <w:div w:id="1921867035">
              <w:marLeft w:val="0"/>
              <w:marRight w:val="0"/>
              <w:marTop w:val="0"/>
              <w:marBottom w:val="0"/>
              <w:divBdr>
                <w:top w:val="none" w:sz="0" w:space="0" w:color="auto"/>
                <w:left w:val="none" w:sz="0" w:space="0" w:color="auto"/>
                <w:bottom w:val="none" w:sz="0" w:space="0" w:color="auto"/>
                <w:right w:val="none" w:sz="0" w:space="0" w:color="auto"/>
              </w:divBdr>
            </w:div>
            <w:div w:id="2034189517">
              <w:marLeft w:val="0"/>
              <w:marRight w:val="0"/>
              <w:marTop w:val="0"/>
              <w:marBottom w:val="0"/>
              <w:divBdr>
                <w:top w:val="none" w:sz="0" w:space="0" w:color="auto"/>
                <w:left w:val="none" w:sz="0" w:space="0" w:color="auto"/>
                <w:bottom w:val="none" w:sz="0" w:space="0" w:color="auto"/>
                <w:right w:val="none" w:sz="0" w:space="0" w:color="auto"/>
              </w:divBdr>
            </w:div>
            <w:div w:id="443355029">
              <w:marLeft w:val="0"/>
              <w:marRight w:val="0"/>
              <w:marTop w:val="0"/>
              <w:marBottom w:val="0"/>
              <w:divBdr>
                <w:top w:val="none" w:sz="0" w:space="0" w:color="auto"/>
                <w:left w:val="none" w:sz="0" w:space="0" w:color="auto"/>
                <w:bottom w:val="none" w:sz="0" w:space="0" w:color="auto"/>
                <w:right w:val="none" w:sz="0" w:space="0" w:color="auto"/>
              </w:divBdr>
            </w:div>
            <w:div w:id="1325354280">
              <w:marLeft w:val="0"/>
              <w:marRight w:val="0"/>
              <w:marTop w:val="0"/>
              <w:marBottom w:val="0"/>
              <w:divBdr>
                <w:top w:val="none" w:sz="0" w:space="0" w:color="auto"/>
                <w:left w:val="none" w:sz="0" w:space="0" w:color="auto"/>
                <w:bottom w:val="none" w:sz="0" w:space="0" w:color="auto"/>
                <w:right w:val="none" w:sz="0" w:space="0" w:color="auto"/>
              </w:divBdr>
            </w:div>
            <w:div w:id="337578725">
              <w:marLeft w:val="0"/>
              <w:marRight w:val="0"/>
              <w:marTop w:val="0"/>
              <w:marBottom w:val="0"/>
              <w:divBdr>
                <w:top w:val="none" w:sz="0" w:space="0" w:color="auto"/>
                <w:left w:val="none" w:sz="0" w:space="0" w:color="auto"/>
                <w:bottom w:val="none" w:sz="0" w:space="0" w:color="auto"/>
                <w:right w:val="none" w:sz="0" w:space="0" w:color="auto"/>
              </w:divBdr>
            </w:div>
            <w:div w:id="93868777">
              <w:marLeft w:val="0"/>
              <w:marRight w:val="0"/>
              <w:marTop w:val="0"/>
              <w:marBottom w:val="0"/>
              <w:divBdr>
                <w:top w:val="none" w:sz="0" w:space="0" w:color="auto"/>
                <w:left w:val="none" w:sz="0" w:space="0" w:color="auto"/>
                <w:bottom w:val="none" w:sz="0" w:space="0" w:color="auto"/>
                <w:right w:val="none" w:sz="0" w:space="0" w:color="auto"/>
              </w:divBdr>
            </w:div>
            <w:div w:id="1203789062">
              <w:marLeft w:val="0"/>
              <w:marRight w:val="0"/>
              <w:marTop w:val="0"/>
              <w:marBottom w:val="0"/>
              <w:divBdr>
                <w:top w:val="none" w:sz="0" w:space="0" w:color="auto"/>
                <w:left w:val="none" w:sz="0" w:space="0" w:color="auto"/>
                <w:bottom w:val="none" w:sz="0" w:space="0" w:color="auto"/>
                <w:right w:val="none" w:sz="0" w:space="0" w:color="auto"/>
              </w:divBdr>
            </w:div>
            <w:div w:id="1292203083">
              <w:marLeft w:val="0"/>
              <w:marRight w:val="0"/>
              <w:marTop w:val="0"/>
              <w:marBottom w:val="0"/>
              <w:divBdr>
                <w:top w:val="none" w:sz="0" w:space="0" w:color="auto"/>
                <w:left w:val="none" w:sz="0" w:space="0" w:color="auto"/>
                <w:bottom w:val="none" w:sz="0" w:space="0" w:color="auto"/>
                <w:right w:val="none" w:sz="0" w:space="0" w:color="auto"/>
              </w:divBdr>
            </w:div>
            <w:div w:id="287513694">
              <w:marLeft w:val="0"/>
              <w:marRight w:val="0"/>
              <w:marTop w:val="0"/>
              <w:marBottom w:val="0"/>
              <w:divBdr>
                <w:top w:val="none" w:sz="0" w:space="0" w:color="auto"/>
                <w:left w:val="none" w:sz="0" w:space="0" w:color="auto"/>
                <w:bottom w:val="none" w:sz="0" w:space="0" w:color="auto"/>
                <w:right w:val="none" w:sz="0" w:space="0" w:color="auto"/>
              </w:divBdr>
            </w:div>
            <w:div w:id="1535458357">
              <w:marLeft w:val="0"/>
              <w:marRight w:val="0"/>
              <w:marTop w:val="0"/>
              <w:marBottom w:val="0"/>
              <w:divBdr>
                <w:top w:val="none" w:sz="0" w:space="0" w:color="auto"/>
                <w:left w:val="none" w:sz="0" w:space="0" w:color="auto"/>
                <w:bottom w:val="none" w:sz="0" w:space="0" w:color="auto"/>
                <w:right w:val="none" w:sz="0" w:space="0" w:color="auto"/>
              </w:divBdr>
            </w:div>
            <w:div w:id="1354989198">
              <w:marLeft w:val="0"/>
              <w:marRight w:val="0"/>
              <w:marTop w:val="0"/>
              <w:marBottom w:val="0"/>
              <w:divBdr>
                <w:top w:val="none" w:sz="0" w:space="0" w:color="auto"/>
                <w:left w:val="none" w:sz="0" w:space="0" w:color="auto"/>
                <w:bottom w:val="none" w:sz="0" w:space="0" w:color="auto"/>
                <w:right w:val="none" w:sz="0" w:space="0" w:color="auto"/>
              </w:divBdr>
            </w:div>
            <w:div w:id="1122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7901">
      <w:bodyDiv w:val="1"/>
      <w:marLeft w:val="0"/>
      <w:marRight w:val="0"/>
      <w:marTop w:val="0"/>
      <w:marBottom w:val="0"/>
      <w:divBdr>
        <w:top w:val="none" w:sz="0" w:space="0" w:color="auto"/>
        <w:left w:val="none" w:sz="0" w:space="0" w:color="auto"/>
        <w:bottom w:val="none" w:sz="0" w:space="0" w:color="auto"/>
        <w:right w:val="none" w:sz="0" w:space="0" w:color="auto"/>
      </w:divBdr>
      <w:divsChild>
        <w:div w:id="1602226165">
          <w:marLeft w:val="0"/>
          <w:marRight w:val="0"/>
          <w:marTop w:val="0"/>
          <w:marBottom w:val="0"/>
          <w:divBdr>
            <w:top w:val="none" w:sz="0" w:space="0" w:color="auto"/>
            <w:left w:val="none" w:sz="0" w:space="0" w:color="auto"/>
            <w:bottom w:val="none" w:sz="0" w:space="0" w:color="auto"/>
            <w:right w:val="none" w:sz="0" w:space="0" w:color="auto"/>
          </w:divBdr>
          <w:divsChild>
            <w:div w:id="434980059">
              <w:marLeft w:val="0"/>
              <w:marRight w:val="0"/>
              <w:marTop w:val="0"/>
              <w:marBottom w:val="0"/>
              <w:divBdr>
                <w:top w:val="none" w:sz="0" w:space="0" w:color="auto"/>
                <w:left w:val="none" w:sz="0" w:space="0" w:color="auto"/>
                <w:bottom w:val="none" w:sz="0" w:space="0" w:color="auto"/>
                <w:right w:val="none" w:sz="0" w:space="0" w:color="auto"/>
              </w:divBdr>
            </w:div>
            <w:div w:id="730155895">
              <w:marLeft w:val="0"/>
              <w:marRight w:val="0"/>
              <w:marTop w:val="0"/>
              <w:marBottom w:val="0"/>
              <w:divBdr>
                <w:top w:val="none" w:sz="0" w:space="0" w:color="auto"/>
                <w:left w:val="none" w:sz="0" w:space="0" w:color="auto"/>
                <w:bottom w:val="none" w:sz="0" w:space="0" w:color="auto"/>
                <w:right w:val="none" w:sz="0" w:space="0" w:color="auto"/>
              </w:divBdr>
            </w:div>
            <w:div w:id="1004892762">
              <w:marLeft w:val="0"/>
              <w:marRight w:val="0"/>
              <w:marTop w:val="0"/>
              <w:marBottom w:val="0"/>
              <w:divBdr>
                <w:top w:val="none" w:sz="0" w:space="0" w:color="auto"/>
                <w:left w:val="none" w:sz="0" w:space="0" w:color="auto"/>
                <w:bottom w:val="none" w:sz="0" w:space="0" w:color="auto"/>
                <w:right w:val="none" w:sz="0" w:space="0" w:color="auto"/>
              </w:divBdr>
            </w:div>
            <w:div w:id="835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9213">
      <w:bodyDiv w:val="1"/>
      <w:marLeft w:val="0"/>
      <w:marRight w:val="0"/>
      <w:marTop w:val="0"/>
      <w:marBottom w:val="0"/>
      <w:divBdr>
        <w:top w:val="none" w:sz="0" w:space="0" w:color="auto"/>
        <w:left w:val="none" w:sz="0" w:space="0" w:color="auto"/>
        <w:bottom w:val="none" w:sz="0" w:space="0" w:color="auto"/>
        <w:right w:val="none" w:sz="0" w:space="0" w:color="auto"/>
      </w:divBdr>
      <w:divsChild>
        <w:div w:id="1409959779">
          <w:marLeft w:val="0"/>
          <w:marRight w:val="0"/>
          <w:marTop w:val="0"/>
          <w:marBottom w:val="0"/>
          <w:divBdr>
            <w:top w:val="none" w:sz="0" w:space="0" w:color="auto"/>
            <w:left w:val="none" w:sz="0" w:space="0" w:color="auto"/>
            <w:bottom w:val="none" w:sz="0" w:space="0" w:color="auto"/>
            <w:right w:val="none" w:sz="0" w:space="0" w:color="auto"/>
          </w:divBdr>
          <w:divsChild>
            <w:div w:id="678167141">
              <w:marLeft w:val="0"/>
              <w:marRight w:val="0"/>
              <w:marTop w:val="0"/>
              <w:marBottom w:val="0"/>
              <w:divBdr>
                <w:top w:val="none" w:sz="0" w:space="0" w:color="auto"/>
                <w:left w:val="none" w:sz="0" w:space="0" w:color="auto"/>
                <w:bottom w:val="none" w:sz="0" w:space="0" w:color="auto"/>
                <w:right w:val="none" w:sz="0" w:space="0" w:color="auto"/>
              </w:divBdr>
            </w:div>
            <w:div w:id="14986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6663">
      <w:bodyDiv w:val="1"/>
      <w:marLeft w:val="0"/>
      <w:marRight w:val="0"/>
      <w:marTop w:val="0"/>
      <w:marBottom w:val="0"/>
      <w:divBdr>
        <w:top w:val="none" w:sz="0" w:space="0" w:color="auto"/>
        <w:left w:val="none" w:sz="0" w:space="0" w:color="auto"/>
        <w:bottom w:val="none" w:sz="0" w:space="0" w:color="auto"/>
        <w:right w:val="none" w:sz="0" w:space="0" w:color="auto"/>
      </w:divBdr>
      <w:divsChild>
        <w:div w:id="996572431">
          <w:marLeft w:val="0"/>
          <w:marRight w:val="0"/>
          <w:marTop w:val="0"/>
          <w:marBottom w:val="0"/>
          <w:divBdr>
            <w:top w:val="none" w:sz="0" w:space="0" w:color="auto"/>
            <w:left w:val="none" w:sz="0" w:space="0" w:color="auto"/>
            <w:bottom w:val="none" w:sz="0" w:space="0" w:color="auto"/>
            <w:right w:val="none" w:sz="0" w:space="0" w:color="auto"/>
          </w:divBdr>
          <w:divsChild>
            <w:div w:id="455754680">
              <w:marLeft w:val="0"/>
              <w:marRight w:val="0"/>
              <w:marTop w:val="0"/>
              <w:marBottom w:val="0"/>
              <w:divBdr>
                <w:top w:val="none" w:sz="0" w:space="0" w:color="auto"/>
                <w:left w:val="none" w:sz="0" w:space="0" w:color="auto"/>
                <w:bottom w:val="none" w:sz="0" w:space="0" w:color="auto"/>
                <w:right w:val="none" w:sz="0" w:space="0" w:color="auto"/>
              </w:divBdr>
            </w:div>
            <w:div w:id="160244013">
              <w:marLeft w:val="0"/>
              <w:marRight w:val="0"/>
              <w:marTop w:val="0"/>
              <w:marBottom w:val="0"/>
              <w:divBdr>
                <w:top w:val="none" w:sz="0" w:space="0" w:color="auto"/>
                <w:left w:val="none" w:sz="0" w:space="0" w:color="auto"/>
                <w:bottom w:val="none" w:sz="0" w:space="0" w:color="auto"/>
                <w:right w:val="none" w:sz="0" w:space="0" w:color="auto"/>
              </w:divBdr>
            </w:div>
            <w:div w:id="1154250561">
              <w:marLeft w:val="0"/>
              <w:marRight w:val="0"/>
              <w:marTop w:val="0"/>
              <w:marBottom w:val="0"/>
              <w:divBdr>
                <w:top w:val="none" w:sz="0" w:space="0" w:color="auto"/>
                <w:left w:val="none" w:sz="0" w:space="0" w:color="auto"/>
                <w:bottom w:val="none" w:sz="0" w:space="0" w:color="auto"/>
                <w:right w:val="none" w:sz="0" w:space="0" w:color="auto"/>
              </w:divBdr>
            </w:div>
            <w:div w:id="621884429">
              <w:marLeft w:val="0"/>
              <w:marRight w:val="0"/>
              <w:marTop w:val="0"/>
              <w:marBottom w:val="0"/>
              <w:divBdr>
                <w:top w:val="none" w:sz="0" w:space="0" w:color="auto"/>
                <w:left w:val="none" w:sz="0" w:space="0" w:color="auto"/>
                <w:bottom w:val="none" w:sz="0" w:space="0" w:color="auto"/>
                <w:right w:val="none" w:sz="0" w:space="0" w:color="auto"/>
              </w:divBdr>
            </w:div>
            <w:div w:id="2103183862">
              <w:marLeft w:val="0"/>
              <w:marRight w:val="0"/>
              <w:marTop w:val="0"/>
              <w:marBottom w:val="0"/>
              <w:divBdr>
                <w:top w:val="none" w:sz="0" w:space="0" w:color="auto"/>
                <w:left w:val="none" w:sz="0" w:space="0" w:color="auto"/>
                <w:bottom w:val="none" w:sz="0" w:space="0" w:color="auto"/>
                <w:right w:val="none" w:sz="0" w:space="0" w:color="auto"/>
              </w:divBdr>
            </w:div>
            <w:div w:id="1007443721">
              <w:marLeft w:val="0"/>
              <w:marRight w:val="0"/>
              <w:marTop w:val="0"/>
              <w:marBottom w:val="0"/>
              <w:divBdr>
                <w:top w:val="none" w:sz="0" w:space="0" w:color="auto"/>
                <w:left w:val="none" w:sz="0" w:space="0" w:color="auto"/>
                <w:bottom w:val="none" w:sz="0" w:space="0" w:color="auto"/>
                <w:right w:val="none" w:sz="0" w:space="0" w:color="auto"/>
              </w:divBdr>
            </w:div>
            <w:div w:id="159736237">
              <w:marLeft w:val="0"/>
              <w:marRight w:val="0"/>
              <w:marTop w:val="0"/>
              <w:marBottom w:val="0"/>
              <w:divBdr>
                <w:top w:val="none" w:sz="0" w:space="0" w:color="auto"/>
                <w:left w:val="none" w:sz="0" w:space="0" w:color="auto"/>
                <w:bottom w:val="none" w:sz="0" w:space="0" w:color="auto"/>
                <w:right w:val="none" w:sz="0" w:space="0" w:color="auto"/>
              </w:divBdr>
            </w:div>
            <w:div w:id="12086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7059">
      <w:bodyDiv w:val="1"/>
      <w:marLeft w:val="0"/>
      <w:marRight w:val="0"/>
      <w:marTop w:val="0"/>
      <w:marBottom w:val="0"/>
      <w:divBdr>
        <w:top w:val="none" w:sz="0" w:space="0" w:color="auto"/>
        <w:left w:val="none" w:sz="0" w:space="0" w:color="auto"/>
        <w:bottom w:val="none" w:sz="0" w:space="0" w:color="auto"/>
        <w:right w:val="none" w:sz="0" w:space="0" w:color="auto"/>
      </w:divBdr>
      <w:divsChild>
        <w:div w:id="1200239088">
          <w:marLeft w:val="0"/>
          <w:marRight w:val="0"/>
          <w:marTop w:val="0"/>
          <w:marBottom w:val="0"/>
          <w:divBdr>
            <w:top w:val="none" w:sz="0" w:space="0" w:color="auto"/>
            <w:left w:val="none" w:sz="0" w:space="0" w:color="auto"/>
            <w:bottom w:val="none" w:sz="0" w:space="0" w:color="auto"/>
            <w:right w:val="none" w:sz="0" w:space="0" w:color="auto"/>
          </w:divBdr>
          <w:divsChild>
            <w:div w:id="1409771107">
              <w:marLeft w:val="0"/>
              <w:marRight w:val="0"/>
              <w:marTop w:val="0"/>
              <w:marBottom w:val="0"/>
              <w:divBdr>
                <w:top w:val="none" w:sz="0" w:space="0" w:color="auto"/>
                <w:left w:val="none" w:sz="0" w:space="0" w:color="auto"/>
                <w:bottom w:val="none" w:sz="0" w:space="0" w:color="auto"/>
                <w:right w:val="none" w:sz="0" w:space="0" w:color="auto"/>
              </w:divBdr>
            </w:div>
            <w:div w:id="147135127">
              <w:marLeft w:val="0"/>
              <w:marRight w:val="0"/>
              <w:marTop w:val="0"/>
              <w:marBottom w:val="0"/>
              <w:divBdr>
                <w:top w:val="none" w:sz="0" w:space="0" w:color="auto"/>
                <w:left w:val="none" w:sz="0" w:space="0" w:color="auto"/>
                <w:bottom w:val="none" w:sz="0" w:space="0" w:color="auto"/>
                <w:right w:val="none" w:sz="0" w:space="0" w:color="auto"/>
              </w:divBdr>
            </w:div>
            <w:div w:id="685862731">
              <w:marLeft w:val="0"/>
              <w:marRight w:val="0"/>
              <w:marTop w:val="0"/>
              <w:marBottom w:val="0"/>
              <w:divBdr>
                <w:top w:val="none" w:sz="0" w:space="0" w:color="auto"/>
                <w:left w:val="none" w:sz="0" w:space="0" w:color="auto"/>
                <w:bottom w:val="none" w:sz="0" w:space="0" w:color="auto"/>
                <w:right w:val="none" w:sz="0" w:space="0" w:color="auto"/>
              </w:divBdr>
            </w:div>
            <w:div w:id="1158351325">
              <w:marLeft w:val="0"/>
              <w:marRight w:val="0"/>
              <w:marTop w:val="0"/>
              <w:marBottom w:val="0"/>
              <w:divBdr>
                <w:top w:val="none" w:sz="0" w:space="0" w:color="auto"/>
                <w:left w:val="none" w:sz="0" w:space="0" w:color="auto"/>
                <w:bottom w:val="none" w:sz="0" w:space="0" w:color="auto"/>
                <w:right w:val="none" w:sz="0" w:space="0" w:color="auto"/>
              </w:divBdr>
            </w:div>
            <w:div w:id="1760100532">
              <w:marLeft w:val="0"/>
              <w:marRight w:val="0"/>
              <w:marTop w:val="0"/>
              <w:marBottom w:val="0"/>
              <w:divBdr>
                <w:top w:val="none" w:sz="0" w:space="0" w:color="auto"/>
                <w:left w:val="none" w:sz="0" w:space="0" w:color="auto"/>
                <w:bottom w:val="none" w:sz="0" w:space="0" w:color="auto"/>
                <w:right w:val="none" w:sz="0" w:space="0" w:color="auto"/>
              </w:divBdr>
            </w:div>
            <w:div w:id="387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7987">
      <w:bodyDiv w:val="1"/>
      <w:marLeft w:val="0"/>
      <w:marRight w:val="0"/>
      <w:marTop w:val="0"/>
      <w:marBottom w:val="0"/>
      <w:divBdr>
        <w:top w:val="none" w:sz="0" w:space="0" w:color="auto"/>
        <w:left w:val="none" w:sz="0" w:space="0" w:color="auto"/>
        <w:bottom w:val="none" w:sz="0" w:space="0" w:color="auto"/>
        <w:right w:val="none" w:sz="0" w:space="0" w:color="auto"/>
      </w:divBdr>
      <w:divsChild>
        <w:div w:id="1863401762">
          <w:marLeft w:val="0"/>
          <w:marRight w:val="0"/>
          <w:marTop w:val="0"/>
          <w:marBottom w:val="0"/>
          <w:divBdr>
            <w:top w:val="none" w:sz="0" w:space="0" w:color="auto"/>
            <w:left w:val="none" w:sz="0" w:space="0" w:color="auto"/>
            <w:bottom w:val="none" w:sz="0" w:space="0" w:color="auto"/>
            <w:right w:val="none" w:sz="0" w:space="0" w:color="auto"/>
          </w:divBdr>
          <w:divsChild>
            <w:div w:id="112527210">
              <w:marLeft w:val="0"/>
              <w:marRight w:val="0"/>
              <w:marTop w:val="0"/>
              <w:marBottom w:val="0"/>
              <w:divBdr>
                <w:top w:val="none" w:sz="0" w:space="0" w:color="auto"/>
                <w:left w:val="none" w:sz="0" w:space="0" w:color="auto"/>
                <w:bottom w:val="none" w:sz="0" w:space="0" w:color="auto"/>
                <w:right w:val="none" w:sz="0" w:space="0" w:color="auto"/>
              </w:divBdr>
            </w:div>
            <w:div w:id="1879849861">
              <w:marLeft w:val="0"/>
              <w:marRight w:val="0"/>
              <w:marTop w:val="0"/>
              <w:marBottom w:val="0"/>
              <w:divBdr>
                <w:top w:val="none" w:sz="0" w:space="0" w:color="auto"/>
                <w:left w:val="none" w:sz="0" w:space="0" w:color="auto"/>
                <w:bottom w:val="none" w:sz="0" w:space="0" w:color="auto"/>
                <w:right w:val="none" w:sz="0" w:space="0" w:color="auto"/>
              </w:divBdr>
            </w:div>
            <w:div w:id="19285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8897">
      <w:bodyDiv w:val="1"/>
      <w:marLeft w:val="0"/>
      <w:marRight w:val="0"/>
      <w:marTop w:val="0"/>
      <w:marBottom w:val="0"/>
      <w:divBdr>
        <w:top w:val="none" w:sz="0" w:space="0" w:color="auto"/>
        <w:left w:val="none" w:sz="0" w:space="0" w:color="auto"/>
        <w:bottom w:val="none" w:sz="0" w:space="0" w:color="auto"/>
        <w:right w:val="none" w:sz="0" w:space="0" w:color="auto"/>
      </w:divBdr>
      <w:divsChild>
        <w:div w:id="1066684968">
          <w:marLeft w:val="0"/>
          <w:marRight w:val="0"/>
          <w:marTop w:val="0"/>
          <w:marBottom w:val="0"/>
          <w:divBdr>
            <w:top w:val="none" w:sz="0" w:space="0" w:color="auto"/>
            <w:left w:val="none" w:sz="0" w:space="0" w:color="auto"/>
            <w:bottom w:val="none" w:sz="0" w:space="0" w:color="auto"/>
            <w:right w:val="none" w:sz="0" w:space="0" w:color="auto"/>
          </w:divBdr>
          <w:divsChild>
            <w:div w:id="1912039509">
              <w:marLeft w:val="0"/>
              <w:marRight w:val="0"/>
              <w:marTop w:val="0"/>
              <w:marBottom w:val="0"/>
              <w:divBdr>
                <w:top w:val="none" w:sz="0" w:space="0" w:color="auto"/>
                <w:left w:val="none" w:sz="0" w:space="0" w:color="auto"/>
                <w:bottom w:val="none" w:sz="0" w:space="0" w:color="auto"/>
                <w:right w:val="none" w:sz="0" w:space="0" w:color="auto"/>
              </w:divBdr>
            </w:div>
            <w:div w:id="991132281">
              <w:marLeft w:val="0"/>
              <w:marRight w:val="0"/>
              <w:marTop w:val="0"/>
              <w:marBottom w:val="0"/>
              <w:divBdr>
                <w:top w:val="none" w:sz="0" w:space="0" w:color="auto"/>
                <w:left w:val="none" w:sz="0" w:space="0" w:color="auto"/>
                <w:bottom w:val="none" w:sz="0" w:space="0" w:color="auto"/>
                <w:right w:val="none" w:sz="0" w:space="0" w:color="auto"/>
              </w:divBdr>
            </w:div>
            <w:div w:id="6464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39914">
      <w:bodyDiv w:val="1"/>
      <w:marLeft w:val="0"/>
      <w:marRight w:val="0"/>
      <w:marTop w:val="0"/>
      <w:marBottom w:val="0"/>
      <w:divBdr>
        <w:top w:val="none" w:sz="0" w:space="0" w:color="auto"/>
        <w:left w:val="none" w:sz="0" w:space="0" w:color="auto"/>
        <w:bottom w:val="none" w:sz="0" w:space="0" w:color="auto"/>
        <w:right w:val="none" w:sz="0" w:space="0" w:color="auto"/>
      </w:divBdr>
      <w:divsChild>
        <w:div w:id="1014306193">
          <w:marLeft w:val="0"/>
          <w:marRight w:val="0"/>
          <w:marTop w:val="0"/>
          <w:marBottom w:val="0"/>
          <w:divBdr>
            <w:top w:val="none" w:sz="0" w:space="0" w:color="auto"/>
            <w:left w:val="none" w:sz="0" w:space="0" w:color="auto"/>
            <w:bottom w:val="none" w:sz="0" w:space="0" w:color="auto"/>
            <w:right w:val="none" w:sz="0" w:space="0" w:color="auto"/>
          </w:divBdr>
          <w:divsChild>
            <w:div w:id="1579826034">
              <w:marLeft w:val="0"/>
              <w:marRight w:val="0"/>
              <w:marTop w:val="0"/>
              <w:marBottom w:val="0"/>
              <w:divBdr>
                <w:top w:val="none" w:sz="0" w:space="0" w:color="auto"/>
                <w:left w:val="none" w:sz="0" w:space="0" w:color="auto"/>
                <w:bottom w:val="none" w:sz="0" w:space="0" w:color="auto"/>
                <w:right w:val="none" w:sz="0" w:space="0" w:color="auto"/>
              </w:divBdr>
            </w:div>
            <w:div w:id="800273108">
              <w:marLeft w:val="0"/>
              <w:marRight w:val="0"/>
              <w:marTop w:val="0"/>
              <w:marBottom w:val="0"/>
              <w:divBdr>
                <w:top w:val="none" w:sz="0" w:space="0" w:color="auto"/>
                <w:left w:val="none" w:sz="0" w:space="0" w:color="auto"/>
                <w:bottom w:val="none" w:sz="0" w:space="0" w:color="auto"/>
                <w:right w:val="none" w:sz="0" w:space="0" w:color="auto"/>
              </w:divBdr>
            </w:div>
            <w:div w:id="16393441">
              <w:marLeft w:val="0"/>
              <w:marRight w:val="0"/>
              <w:marTop w:val="0"/>
              <w:marBottom w:val="0"/>
              <w:divBdr>
                <w:top w:val="none" w:sz="0" w:space="0" w:color="auto"/>
                <w:left w:val="none" w:sz="0" w:space="0" w:color="auto"/>
                <w:bottom w:val="none" w:sz="0" w:space="0" w:color="auto"/>
                <w:right w:val="none" w:sz="0" w:space="0" w:color="auto"/>
              </w:divBdr>
            </w:div>
            <w:div w:id="1418018046">
              <w:marLeft w:val="0"/>
              <w:marRight w:val="0"/>
              <w:marTop w:val="0"/>
              <w:marBottom w:val="0"/>
              <w:divBdr>
                <w:top w:val="none" w:sz="0" w:space="0" w:color="auto"/>
                <w:left w:val="none" w:sz="0" w:space="0" w:color="auto"/>
                <w:bottom w:val="none" w:sz="0" w:space="0" w:color="auto"/>
                <w:right w:val="none" w:sz="0" w:space="0" w:color="auto"/>
              </w:divBdr>
            </w:div>
            <w:div w:id="2079208234">
              <w:marLeft w:val="0"/>
              <w:marRight w:val="0"/>
              <w:marTop w:val="0"/>
              <w:marBottom w:val="0"/>
              <w:divBdr>
                <w:top w:val="none" w:sz="0" w:space="0" w:color="auto"/>
                <w:left w:val="none" w:sz="0" w:space="0" w:color="auto"/>
                <w:bottom w:val="none" w:sz="0" w:space="0" w:color="auto"/>
                <w:right w:val="none" w:sz="0" w:space="0" w:color="auto"/>
              </w:divBdr>
            </w:div>
            <w:div w:id="1975792781">
              <w:marLeft w:val="0"/>
              <w:marRight w:val="0"/>
              <w:marTop w:val="0"/>
              <w:marBottom w:val="0"/>
              <w:divBdr>
                <w:top w:val="none" w:sz="0" w:space="0" w:color="auto"/>
                <w:left w:val="none" w:sz="0" w:space="0" w:color="auto"/>
                <w:bottom w:val="none" w:sz="0" w:space="0" w:color="auto"/>
                <w:right w:val="none" w:sz="0" w:space="0" w:color="auto"/>
              </w:divBdr>
            </w:div>
            <w:div w:id="705642235">
              <w:marLeft w:val="0"/>
              <w:marRight w:val="0"/>
              <w:marTop w:val="0"/>
              <w:marBottom w:val="0"/>
              <w:divBdr>
                <w:top w:val="none" w:sz="0" w:space="0" w:color="auto"/>
                <w:left w:val="none" w:sz="0" w:space="0" w:color="auto"/>
                <w:bottom w:val="none" w:sz="0" w:space="0" w:color="auto"/>
                <w:right w:val="none" w:sz="0" w:space="0" w:color="auto"/>
              </w:divBdr>
            </w:div>
            <w:div w:id="10076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6805">
      <w:bodyDiv w:val="1"/>
      <w:marLeft w:val="0"/>
      <w:marRight w:val="0"/>
      <w:marTop w:val="0"/>
      <w:marBottom w:val="0"/>
      <w:divBdr>
        <w:top w:val="none" w:sz="0" w:space="0" w:color="auto"/>
        <w:left w:val="none" w:sz="0" w:space="0" w:color="auto"/>
        <w:bottom w:val="none" w:sz="0" w:space="0" w:color="auto"/>
        <w:right w:val="none" w:sz="0" w:space="0" w:color="auto"/>
      </w:divBdr>
      <w:divsChild>
        <w:div w:id="638730016">
          <w:marLeft w:val="0"/>
          <w:marRight w:val="0"/>
          <w:marTop w:val="0"/>
          <w:marBottom w:val="0"/>
          <w:divBdr>
            <w:top w:val="none" w:sz="0" w:space="0" w:color="auto"/>
            <w:left w:val="none" w:sz="0" w:space="0" w:color="auto"/>
            <w:bottom w:val="none" w:sz="0" w:space="0" w:color="auto"/>
            <w:right w:val="none" w:sz="0" w:space="0" w:color="auto"/>
          </w:divBdr>
          <w:divsChild>
            <w:div w:id="2127919638">
              <w:marLeft w:val="0"/>
              <w:marRight w:val="0"/>
              <w:marTop w:val="0"/>
              <w:marBottom w:val="0"/>
              <w:divBdr>
                <w:top w:val="none" w:sz="0" w:space="0" w:color="auto"/>
                <w:left w:val="none" w:sz="0" w:space="0" w:color="auto"/>
                <w:bottom w:val="none" w:sz="0" w:space="0" w:color="auto"/>
                <w:right w:val="none" w:sz="0" w:space="0" w:color="auto"/>
              </w:divBdr>
            </w:div>
            <w:div w:id="14719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206">
      <w:bodyDiv w:val="1"/>
      <w:marLeft w:val="0"/>
      <w:marRight w:val="0"/>
      <w:marTop w:val="0"/>
      <w:marBottom w:val="0"/>
      <w:divBdr>
        <w:top w:val="none" w:sz="0" w:space="0" w:color="auto"/>
        <w:left w:val="none" w:sz="0" w:space="0" w:color="auto"/>
        <w:bottom w:val="none" w:sz="0" w:space="0" w:color="auto"/>
        <w:right w:val="none" w:sz="0" w:space="0" w:color="auto"/>
      </w:divBdr>
      <w:divsChild>
        <w:div w:id="84543761">
          <w:marLeft w:val="0"/>
          <w:marRight w:val="0"/>
          <w:marTop w:val="0"/>
          <w:marBottom w:val="0"/>
          <w:divBdr>
            <w:top w:val="none" w:sz="0" w:space="0" w:color="auto"/>
            <w:left w:val="none" w:sz="0" w:space="0" w:color="auto"/>
            <w:bottom w:val="none" w:sz="0" w:space="0" w:color="auto"/>
            <w:right w:val="none" w:sz="0" w:space="0" w:color="auto"/>
          </w:divBdr>
          <w:divsChild>
            <w:div w:id="484860026">
              <w:marLeft w:val="0"/>
              <w:marRight w:val="0"/>
              <w:marTop w:val="0"/>
              <w:marBottom w:val="0"/>
              <w:divBdr>
                <w:top w:val="none" w:sz="0" w:space="0" w:color="auto"/>
                <w:left w:val="none" w:sz="0" w:space="0" w:color="auto"/>
                <w:bottom w:val="none" w:sz="0" w:space="0" w:color="auto"/>
                <w:right w:val="none" w:sz="0" w:space="0" w:color="auto"/>
              </w:divBdr>
            </w:div>
            <w:div w:id="1184898921">
              <w:marLeft w:val="0"/>
              <w:marRight w:val="0"/>
              <w:marTop w:val="0"/>
              <w:marBottom w:val="0"/>
              <w:divBdr>
                <w:top w:val="none" w:sz="0" w:space="0" w:color="auto"/>
                <w:left w:val="none" w:sz="0" w:space="0" w:color="auto"/>
                <w:bottom w:val="none" w:sz="0" w:space="0" w:color="auto"/>
                <w:right w:val="none" w:sz="0" w:space="0" w:color="auto"/>
              </w:divBdr>
            </w:div>
            <w:div w:id="4963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2531">
      <w:bodyDiv w:val="1"/>
      <w:marLeft w:val="0"/>
      <w:marRight w:val="0"/>
      <w:marTop w:val="0"/>
      <w:marBottom w:val="0"/>
      <w:divBdr>
        <w:top w:val="none" w:sz="0" w:space="0" w:color="auto"/>
        <w:left w:val="none" w:sz="0" w:space="0" w:color="auto"/>
        <w:bottom w:val="none" w:sz="0" w:space="0" w:color="auto"/>
        <w:right w:val="none" w:sz="0" w:space="0" w:color="auto"/>
      </w:divBdr>
      <w:divsChild>
        <w:div w:id="1973636830">
          <w:marLeft w:val="0"/>
          <w:marRight w:val="0"/>
          <w:marTop w:val="0"/>
          <w:marBottom w:val="0"/>
          <w:divBdr>
            <w:top w:val="none" w:sz="0" w:space="0" w:color="auto"/>
            <w:left w:val="none" w:sz="0" w:space="0" w:color="auto"/>
            <w:bottom w:val="none" w:sz="0" w:space="0" w:color="auto"/>
            <w:right w:val="none" w:sz="0" w:space="0" w:color="auto"/>
          </w:divBdr>
        </w:div>
        <w:div w:id="841551325">
          <w:marLeft w:val="0"/>
          <w:marRight w:val="0"/>
          <w:marTop w:val="0"/>
          <w:marBottom w:val="0"/>
          <w:divBdr>
            <w:top w:val="none" w:sz="0" w:space="0" w:color="auto"/>
            <w:left w:val="none" w:sz="0" w:space="0" w:color="auto"/>
            <w:bottom w:val="none" w:sz="0" w:space="0" w:color="auto"/>
            <w:right w:val="none" w:sz="0" w:space="0" w:color="auto"/>
          </w:divBdr>
        </w:div>
      </w:divsChild>
    </w:div>
    <w:div w:id="1873030243">
      <w:bodyDiv w:val="1"/>
      <w:marLeft w:val="0"/>
      <w:marRight w:val="0"/>
      <w:marTop w:val="0"/>
      <w:marBottom w:val="0"/>
      <w:divBdr>
        <w:top w:val="none" w:sz="0" w:space="0" w:color="auto"/>
        <w:left w:val="none" w:sz="0" w:space="0" w:color="auto"/>
        <w:bottom w:val="none" w:sz="0" w:space="0" w:color="auto"/>
        <w:right w:val="none" w:sz="0" w:space="0" w:color="auto"/>
      </w:divBdr>
      <w:divsChild>
        <w:div w:id="1081871283">
          <w:marLeft w:val="0"/>
          <w:marRight w:val="0"/>
          <w:marTop w:val="0"/>
          <w:marBottom w:val="0"/>
          <w:divBdr>
            <w:top w:val="none" w:sz="0" w:space="0" w:color="auto"/>
            <w:left w:val="none" w:sz="0" w:space="0" w:color="auto"/>
            <w:bottom w:val="none" w:sz="0" w:space="0" w:color="auto"/>
            <w:right w:val="none" w:sz="0" w:space="0" w:color="auto"/>
          </w:divBdr>
          <w:divsChild>
            <w:div w:id="2088918878">
              <w:marLeft w:val="0"/>
              <w:marRight w:val="0"/>
              <w:marTop w:val="0"/>
              <w:marBottom w:val="0"/>
              <w:divBdr>
                <w:top w:val="none" w:sz="0" w:space="0" w:color="auto"/>
                <w:left w:val="none" w:sz="0" w:space="0" w:color="auto"/>
                <w:bottom w:val="none" w:sz="0" w:space="0" w:color="auto"/>
                <w:right w:val="none" w:sz="0" w:space="0" w:color="auto"/>
              </w:divBdr>
            </w:div>
            <w:div w:id="847794317">
              <w:marLeft w:val="0"/>
              <w:marRight w:val="0"/>
              <w:marTop w:val="0"/>
              <w:marBottom w:val="0"/>
              <w:divBdr>
                <w:top w:val="none" w:sz="0" w:space="0" w:color="auto"/>
                <w:left w:val="none" w:sz="0" w:space="0" w:color="auto"/>
                <w:bottom w:val="none" w:sz="0" w:space="0" w:color="auto"/>
                <w:right w:val="none" w:sz="0" w:space="0" w:color="auto"/>
              </w:divBdr>
            </w:div>
            <w:div w:id="1581476892">
              <w:marLeft w:val="0"/>
              <w:marRight w:val="0"/>
              <w:marTop w:val="0"/>
              <w:marBottom w:val="0"/>
              <w:divBdr>
                <w:top w:val="none" w:sz="0" w:space="0" w:color="auto"/>
                <w:left w:val="none" w:sz="0" w:space="0" w:color="auto"/>
                <w:bottom w:val="none" w:sz="0" w:space="0" w:color="auto"/>
                <w:right w:val="none" w:sz="0" w:space="0" w:color="auto"/>
              </w:divBdr>
            </w:div>
            <w:div w:id="4329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7976">
      <w:bodyDiv w:val="1"/>
      <w:marLeft w:val="0"/>
      <w:marRight w:val="0"/>
      <w:marTop w:val="0"/>
      <w:marBottom w:val="0"/>
      <w:divBdr>
        <w:top w:val="none" w:sz="0" w:space="0" w:color="auto"/>
        <w:left w:val="none" w:sz="0" w:space="0" w:color="auto"/>
        <w:bottom w:val="none" w:sz="0" w:space="0" w:color="auto"/>
        <w:right w:val="none" w:sz="0" w:space="0" w:color="auto"/>
      </w:divBdr>
      <w:divsChild>
        <w:div w:id="407465564">
          <w:marLeft w:val="0"/>
          <w:marRight w:val="0"/>
          <w:marTop w:val="0"/>
          <w:marBottom w:val="0"/>
          <w:divBdr>
            <w:top w:val="none" w:sz="0" w:space="0" w:color="auto"/>
            <w:left w:val="none" w:sz="0" w:space="0" w:color="auto"/>
            <w:bottom w:val="none" w:sz="0" w:space="0" w:color="auto"/>
            <w:right w:val="none" w:sz="0" w:space="0" w:color="auto"/>
          </w:divBdr>
          <w:divsChild>
            <w:div w:id="389810672">
              <w:marLeft w:val="0"/>
              <w:marRight w:val="0"/>
              <w:marTop w:val="0"/>
              <w:marBottom w:val="0"/>
              <w:divBdr>
                <w:top w:val="none" w:sz="0" w:space="0" w:color="auto"/>
                <w:left w:val="none" w:sz="0" w:space="0" w:color="auto"/>
                <w:bottom w:val="none" w:sz="0" w:space="0" w:color="auto"/>
                <w:right w:val="none" w:sz="0" w:space="0" w:color="auto"/>
              </w:divBdr>
            </w:div>
            <w:div w:id="1447626994">
              <w:marLeft w:val="0"/>
              <w:marRight w:val="0"/>
              <w:marTop w:val="0"/>
              <w:marBottom w:val="0"/>
              <w:divBdr>
                <w:top w:val="none" w:sz="0" w:space="0" w:color="auto"/>
                <w:left w:val="none" w:sz="0" w:space="0" w:color="auto"/>
                <w:bottom w:val="none" w:sz="0" w:space="0" w:color="auto"/>
                <w:right w:val="none" w:sz="0" w:space="0" w:color="auto"/>
              </w:divBdr>
            </w:div>
            <w:div w:id="1209492966">
              <w:marLeft w:val="0"/>
              <w:marRight w:val="0"/>
              <w:marTop w:val="0"/>
              <w:marBottom w:val="0"/>
              <w:divBdr>
                <w:top w:val="none" w:sz="0" w:space="0" w:color="auto"/>
                <w:left w:val="none" w:sz="0" w:space="0" w:color="auto"/>
                <w:bottom w:val="none" w:sz="0" w:space="0" w:color="auto"/>
                <w:right w:val="none" w:sz="0" w:space="0" w:color="auto"/>
              </w:divBdr>
            </w:div>
            <w:div w:id="1275476267">
              <w:marLeft w:val="0"/>
              <w:marRight w:val="0"/>
              <w:marTop w:val="0"/>
              <w:marBottom w:val="0"/>
              <w:divBdr>
                <w:top w:val="none" w:sz="0" w:space="0" w:color="auto"/>
                <w:left w:val="none" w:sz="0" w:space="0" w:color="auto"/>
                <w:bottom w:val="none" w:sz="0" w:space="0" w:color="auto"/>
                <w:right w:val="none" w:sz="0" w:space="0" w:color="auto"/>
              </w:divBdr>
            </w:div>
            <w:div w:id="754938642">
              <w:marLeft w:val="0"/>
              <w:marRight w:val="0"/>
              <w:marTop w:val="0"/>
              <w:marBottom w:val="0"/>
              <w:divBdr>
                <w:top w:val="none" w:sz="0" w:space="0" w:color="auto"/>
                <w:left w:val="none" w:sz="0" w:space="0" w:color="auto"/>
                <w:bottom w:val="none" w:sz="0" w:space="0" w:color="auto"/>
                <w:right w:val="none" w:sz="0" w:space="0" w:color="auto"/>
              </w:divBdr>
            </w:div>
            <w:div w:id="3449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5130">
      <w:bodyDiv w:val="1"/>
      <w:marLeft w:val="0"/>
      <w:marRight w:val="0"/>
      <w:marTop w:val="0"/>
      <w:marBottom w:val="0"/>
      <w:divBdr>
        <w:top w:val="none" w:sz="0" w:space="0" w:color="auto"/>
        <w:left w:val="none" w:sz="0" w:space="0" w:color="auto"/>
        <w:bottom w:val="none" w:sz="0" w:space="0" w:color="auto"/>
        <w:right w:val="none" w:sz="0" w:space="0" w:color="auto"/>
      </w:divBdr>
      <w:divsChild>
        <w:div w:id="1332374809">
          <w:marLeft w:val="0"/>
          <w:marRight w:val="0"/>
          <w:marTop w:val="0"/>
          <w:marBottom w:val="0"/>
          <w:divBdr>
            <w:top w:val="none" w:sz="0" w:space="0" w:color="auto"/>
            <w:left w:val="none" w:sz="0" w:space="0" w:color="auto"/>
            <w:bottom w:val="none" w:sz="0" w:space="0" w:color="auto"/>
            <w:right w:val="none" w:sz="0" w:space="0" w:color="auto"/>
          </w:divBdr>
          <w:divsChild>
            <w:div w:id="188371816">
              <w:marLeft w:val="0"/>
              <w:marRight w:val="0"/>
              <w:marTop w:val="0"/>
              <w:marBottom w:val="0"/>
              <w:divBdr>
                <w:top w:val="none" w:sz="0" w:space="0" w:color="auto"/>
                <w:left w:val="none" w:sz="0" w:space="0" w:color="auto"/>
                <w:bottom w:val="none" w:sz="0" w:space="0" w:color="auto"/>
                <w:right w:val="none" w:sz="0" w:space="0" w:color="auto"/>
              </w:divBdr>
            </w:div>
            <w:div w:id="1630476068">
              <w:marLeft w:val="0"/>
              <w:marRight w:val="0"/>
              <w:marTop w:val="0"/>
              <w:marBottom w:val="0"/>
              <w:divBdr>
                <w:top w:val="none" w:sz="0" w:space="0" w:color="auto"/>
                <w:left w:val="none" w:sz="0" w:space="0" w:color="auto"/>
                <w:bottom w:val="none" w:sz="0" w:space="0" w:color="auto"/>
                <w:right w:val="none" w:sz="0" w:space="0" w:color="auto"/>
              </w:divBdr>
            </w:div>
            <w:div w:id="14418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5701">
      <w:bodyDiv w:val="1"/>
      <w:marLeft w:val="0"/>
      <w:marRight w:val="0"/>
      <w:marTop w:val="0"/>
      <w:marBottom w:val="0"/>
      <w:divBdr>
        <w:top w:val="none" w:sz="0" w:space="0" w:color="auto"/>
        <w:left w:val="none" w:sz="0" w:space="0" w:color="auto"/>
        <w:bottom w:val="none" w:sz="0" w:space="0" w:color="auto"/>
        <w:right w:val="none" w:sz="0" w:space="0" w:color="auto"/>
      </w:divBdr>
      <w:divsChild>
        <w:div w:id="137888653">
          <w:marLeft w:val="0"/>
          <w:marRight w:val="0"/>
          <w:marTop w:val="0"/>
          <w:marBottom w:val="0"/>
          <w:divBdr>
            <w:top w:val="none" w:sz="0" w:space="0" w:color="auto"/>
            <w:left w:val="none" w:sz="0" w:space="0" w:color="auto"/>
            <w:bottom w:val="none" w:sz="0" w:space="0" w:color="auto"/>
            <w:right w:val="none" w:sz="0" w:space="0" w:color="auto"/>
          </w:divBdr>
        </w:div>
        <w:div w:id="522667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6</Pages>
  <Words>2313</Words>
  <Characters>12725</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Lilya Slimani</dc:creator>
  <cp:keywords/>
  <dc:description/>
  <cp:lastModifiedBy>Lilya Slimani</cp:lastModifiedBy>
  <cp:revision>26</cp:revision>
  <dcterms:created xsi:type="dcterms:W3CDTF">2022-05-04T12:37:00Z</dcterms:created>
  <dcterms:modified xsi:type="dcterms:W3CDTF">2022-05-24T14:22:00Z</dcterms:modified>
</cp:coreProperties>
</file>