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pPr>
        <w:spacing w:line="480" w:lineRule="auto"/>
        <w:jc w:val="center"/>
        <w:rPr>
          <w:rFonts w:ascii="Times New Roman" w:hAnsi="Times New Roman" w:cs="Times New Roman" w:hint="default"/>
          <w:b/>
          <w:bCs/>
          <w:sz w:val="24"/>
          <w:szCs w:val="24"/>
        </w:rPr>
      </w:pPr>
    </w:p>
    <w:p>
      <w:pPr>
        <w:spacing w:line="480" w:lineRule="auto"/>
        <w:jc w:val="center"/>
        <w:rPr>
          <w:rFonts w:ascii="Times New Roman" w:hAnsi="Times New Roman" w:cs="Times New Roman" w:hint="default"/>
          <w:b/>
          <w:bCs/>
          <w:sz w:val="24"/>
          <w:szCs w:val="24"/>
        </w:rPr>
      </w:pPr>
    </w:p>
    <w:p>
      <w:pPr>
        <w:spacing w:line="480" w:lineRule="auto"/>
        <w:jc w:val="center"/>
        <w:rPr>
          <w:rFonts w:ascii="Times New Roman" w:hAnsi="Times New Roman" w:cs="Times New Roman" w:hint="default"/>
          <w:b/>
          <w:bCs/>
          <w:sz w:val="24"/>
          <w:szCs w:val="24"/>
        </w:rPr>
      </w:pPr>
      <w:r>
        <w:rPr>
          <w:rFonts w:ascii="Times New Roman" w:hAnsi="Times New Roman" w:cs="Times New Roman" w:hint="default"/>
          <w:b/>
          <w:bCs/>
          <w:sz w:val="24"/>
          <w:szCs w:val="24"/>
        </w:rPr>
        <w:t>Research Proposal on Central Bank virtual currencies, money supply, and interest rate nexus in Europe.</w:t>
      </w:r>
    </w:p>
    <w:p>
      <w:pPr>
        <w:spacing w:line="480" w:lineRule="auto"/>
        <w:rPr>
          <w:rFonts w:ascii="Times New Roman" w:hAnsi="Times New Roman" w:cs="Times New Roman" w:hint="default"/>
          <w:sz w:val="24"/>
          <w:szCs w:val="24"/>
        </w:rPr>
      </w:pPr>
    </w:p>
    <w:p>
      <w:pPr>
        <w:spacing w:line="480" w:lineRule="auto"/>
        <w:rPr>
          <w:rFonts w:ascii="Times New Roman" w:hAnsi="Times New Roman" w:cs="Times New Roman" w:hint="default"/>
          <w:sz w:val="24"/>
          <w:szCs w:val="24"/>
        </w:rPr>
      </w:pPr>
      <w:r>
        <w:rPr>
          <w:rFonts w:ascii="Times New Roman" w:hAnsi="Times New Roman" w:cs="Times New Roman" w:hint="default"/>
          <w:sz w:val="24"/>
          <w:szCs w:val="24"/>
        </w:rPr>
        <w:br w:type="page"/>
      </w:r>
      <w:r>
        <w:rPr>
          <w:rFonts w:ascii="Times New Roman" w:hAnsi="Times New Roman" w:cs="Times New Roman" w:hint="default"/>
          <w:sz w:val="24"/>
          <w:szCs w:val="24"/>
        </w:rPr>
        <w:br w:type="page"/>
      </w:r>
    </w:p>
    <w:sdt>
      <w:sdtPr>
        <w:rPr>
          <w:rFonts w:ascii="Times New Roman" w:hAnsi="Times New Roman" w:cs="Times New Roman" w:hint="default"/>
          <w:sz w:val="24"/>
          <w:szCs w:val="24"/>
        </w:rPr>
        <w:id w:val="-1578514130"/>
        <w:docPartObj>
          <w:docPartGallery w:val="Table of Contents"/>
          <w:docPartUnique/>
        </w:docPartObj>
      </w:sdtPr>
      <w:sdtEndPr>
        <w:rPr>
          <w:rFonts w:ascii="Times New Roman" w:hAnsi="Times New Roman" w:eastAsiaTheme="minorHAnsi" w:cs="Times New Roman" w:hint="default"/>
          <w:b/>
          <w:bCs/>
          <w:color w:val="auto"/>
          <w:sz w:val="24"/>
          <w:szCs w:val="24"/>
        </w:rPr>
      </w:sdtEndPr>
      <w:sdtContent>
        <w:p>
          <w:pPr>
            <w:pStyle w:val="TOCHeading"/>
            <w:spacing w:line="480" w:lineRule="auto"/>
            <w:jc w:val="center"/>
            <w:rPr>
              <w:rFonts w:ascii="Times New Roman" w:hAnsi="Times New Roman" w:cs="Times New Roman" w:hint="default"/>
              <w:sz w:val="24"/>
              <w:szCs w:val="24"/>
            </w:rPr>
          </w:pPr>
          <w:r>
            <w:rPr>
              <w:rFonts w:ascii="Times New Roman" w:hAnsi="Times New Roman" w:cs="Times New Roman" w:hint="default"/>
              <w:sz w:val="24"/>
              <w:szCs w:val="24"/>
            </w:rPr>
            <w:t>Table of Contents</w:t>
          </w:r>
        </w:p>
        <w:p>
          <w:pPr>
            <w:pStyle w:val="TOC1"/>
            <w:tabs>
              <w:tab w:val="right" w:leader="dot" w:pos="9350"/>
            </w:tabs>
            <w:spacing w:line="480" w:lineRule="auto"/>
            <w:rPr>
              <w:rFonts w:ascii="Times New Roman" w:hAnsi="Times New Roman" w:cs="Times New Roman" w:hint="default"/>
              <w:sz w:val="24"/>
              <w:szCs w:val="24"/>
            </w:rPr>
          </w:pPr>
          <w:r>
            <w:rPr>
              <w:rFonts w:ascii="Times New Roman" w:hAnsi="Times New Roman" w:cs="Times New Roman" w:hint="default"/>
              <w:sz w:val="24"/>
              <w:szCs w:val="24"/>
            </w:rPr>
            <w:fldChar w:fldCharType="begin"/>
          </w:r>
          <w:r>
            <w:rPr>
              <w:rFonts w:ascii="Times New Roman" w:hAnsi="Times New Roman" w:cs="Times New Roman" w:hint="default"/>
              <w:sz w:val="24"/>
              <w:szCs w:val="24"/>
            </w:rPr>
            <w:instrText xml:space="preserve"> TOC \o "1-3" \h \z \u </w:instrText>
          </w:r>
          <w:r>
            <w:rPr>
              <w:rFonts w:ascii="Times New Roman" w:hAnsi="Times New Roman" w:cs="Times New Roman" w:hint="default"/>
              <w:sz w:val="24"/>
              <w:szCs w:val="24"/>
            </w:rPr>
            <w:fldChar w:fldCharType="separate"/>
          </w:r>
          <w:hyperlink w:anchor="_Toc120864771" w:history="1">
            <w:r>
              <w:rPr>
                <w:rStyle w:val="Hyperlink"/>
                <w:rFonts w:ascii="Times New Roman" w:hAnsi="Times New Roman" w:cs="Times New Roman" w:hint="default"/>
                <w:sz w:val="24"/>
                <w:szCs w:val="24"/>
              </w:rPr>
              <w:t>CHAPTER ONE: INTRODUCTION</w:t>
            </w:r>
            <w:r>
              <w:rPr>
                <w:rFonts w:ascii="Times New Roman" w:hAnsi="Times New Roman" w:cs="Times New Roman" w:hint="default"/>
                <w:sz w:val="24"/>
                <w:szCs w:val="24"/>
              </w:rPr>
              <w:tab/>
            </w:r>
            <w:r>
              <w:rPr>
                <w:rFonts w:ascii="Times New Roman" w:hAnsi="Times New Roman" w:cs="Times New Roman" w:hint="default"/>
                <w:sz w:val="24"/>
                <w:szCs w:val="24"/>
              </w:rPr>
              <w:fldChar w:fldCharType="begin"/>
            </w:r>
            <w:r>
              <w:rPr>
                <w:rFonts w:ascii="Times New Roman" w:hAnsi="Times New Roman" w:cs="Times New Roman" w:hint="default"/>
                <w:sz w:val="24"/>
                <w:szCs w:val="24"/>
              </w:rPr>
              <w:instrText xml:space="preserve"> PAGEREF _Toc120864771 \h </w:instrText>
            </w:r>
            <w:r>
              <w:rPr>
                <w:rFonts w:ascii="Times New Roman" w:hAnsi="Times New Roman" w:cs="Times New Roman" w:hint="default"/>
                <w:sz w:val="24"/>
                <w:szCs w:val="24"/>
              </w:rPr>
              <w:fldChar w:fldCharType="separate"/>
            </w:r>
            <w:r>
              <w:rPr>
                <w:rFonts w:ascii="Times New Roman" w:hAnsi="Times New Roman" w:cs="Times New Roman" w:hint="default"/>
                <w:sz w:val="24"/>
                <w:szCs w:val="24"/>
              </w:rPr>
              <w:t>3</w:t>
            </w:r>
            <w:r>
              <w:rPr>
                <w:rFonts w:ascii="Times New Roman" w:hAnsi="Times New Roman" w:cs="Times New Roman" w:hint="default"/>
                <w:sz w:val="24"/>
                <w:szCs w:val="24"/>
              </w:rPr>
              <w:fldChar w:fldCharType="end"/>
            </w:r>
          </w:hyperlink>
        </w:p>
        <w:p>
          <w:pPr>
            <w:pStyle w:val="TOC2"/>
            <w:tabs>
              <w:tab w:val="right" w:leader="dot" w:pos="9350"/>
            </w:tabs>
            <w:spacing w:line="480" w:lineRule="auto"/>
            <w:rPr>
              <w:rFonts w:ascii="Times New Roman" w:hAnsi="Times New Roman" w:cs="Times New Roman" w:hint="default"/>
              <w:sz w:val="24"/>
              <w:szCs w:val="24"/>
            </w:rPr>
          </w:pPr>
          <w:hyperlink w:anchor="_Toc120864772" w:history="1">
            <w:r>
              <w:rPr>
                <w:rStyle w:val="Hyperlink"/>
                <w:rFonts w:ascii="Times New Roman" w:hAnsi="Times New Roman" w:cs="Times New Roman" w:hint="default"/>
                <w:sz w:val="24"/>
                <w:szCs w:val="24"/>
              </w:rPr>
              <w:t>1.0 Introduction</w:t>
            </w:r>
            <w:r>
              <w:rPr>
                <w:rFonts w:ascii="Times New Roman" w:hAnsi="Times New Roman" w:cs="Times New Roman" w:hint="default"/>
                <w:sz w:val="24"/>
                <w:szCs w:val="24"/>
              </w:rPr>
              <w:tab/>
            </w:r>
            <w:r>
              <w:rPr>
                <w:rFonts w:ascii="Times New Roman" w:hAnsi="Times New Roman" w:cs="Times New Roman" w:hint="default"/>
                <w:sz w:val="24"/>
                <w:szCs w:val="24"/>
              </w:rPr>
              <w:fldChar w:fldCharType="begin"/>
            </w:r>
            <w:r>
              <w:rPr>
                <w:rFonts w:ascii="Times New Roman" w:hAnsi="Times New Roman" w:cs="Times New Roman" w:hint="default"/>
                <w:sz w:val="24"/>
                <w:szCs w:val="24"/>
              </w:rPr>
              <w:instrText xml:space="preserve"> PAGEREF _Toc120864772 \h </w:instrText>
            </w:r>
            <w:r>
              <w:rPr>
                <w:rFonts w:ascii="Times New Roman" w:hAnsi="Times New Roman" w:cs="Times New Roman" w:hint="default"/>
                <w:sz w:val="24"/>
                <w:szCs w:val="24"/>
              </w:rPr>
              <w:fldChar w:fldCharType="separate"/>
            </w:r>
            <w:r>
              <w:rPr>
                <w:rFonts w:ascii="Times New Roman" w:hAnsi="Times New Roman" w:cs="Times New Roman" w:hint="default"/>
                <w:sz w:val="24"/>
                <w:szCs w:val="24"/>
              </w:rPr>
              <w:t>3</w:t>
            </w:r>
            <w:r>
              <w:rPr>
                <w:rFonts w:ascii="Times New Roman" w:hAnsi="Times New Roman" w:cs="Times New Roman" w:hint="default"/>
                <w:sz w:val="24"/>
                <w:szCs w:val="24"/>
              </w:rPr>
              <w:fldChar w:fldCharType="end"/>
            </w:r>
          </w:hyperlink>
        </w:p>
        <w:p>
          <w:pPr>
            <w:pStyle w:val="TOC2"/>
            <w:tabs>
              <w:tab w:val="right" w:leader="dot" w:pos="9350"/>
            </w:tabs>
            <w:spacing w:line="480" w:lineRule="auto"/>
            <w:rPr>
              <w:rFonts w:ascii="Times New Roman" w:hAnsi="Times New Roman" w:cs="Times New Roman" w:hint="default"/>
              <w:sz w:val="24"/>
              <w:szCs w:val="24"/>
            </w:rPr>
          </w:pPr>
          <w:hyperlink w:anchor="_Toc120864773" w:history="1">
            <w:r>
              <w:rPr>
                <w:rStyle w:val="Hyperlink"/>
                <w:rFonts w:ascii="Times New Roman" w:hAnsi="Times New Roman" w:cs="Times New Roman" w:hint="default"/>
                <w:sz w:val="24"/>
                <w:szCs w:val="24"/>
              </w:rPr>
              <w:t>1.1 Background Information</w:t>
            </w:r>
            <w:r>
              <w:rPr>
                <w:rFonts w:ascii="Times New Roman" w:hAnsi="Times New Roman" w:cs="Times New Roman" w:hint="default"/>
                <w:sz w:val="24"/>
                <w:szCs w:val="24"/>
              </w:rPr>
              <w:tab/>
            </w:r>
            <w:r>
              <w:rPr>
                <w:rFonts w:ascii="Times New Roman" w:hAnsi="Times New Roman" w:cs="Times New Roman" w:hint="default"/>
                <w:sz w:val="24"/>
                <w:szCs w:val="24"/>
              </w:rPr>
              <w:fldChar w:fldCharType="begin"/>
            </w:r>
            <w:r>
              <w:rPr>
                <w:rFonts w:ascii="Times New Roman" w:hAnsi="Times New Roman" w:cs="Times New Roman" w:hint="default"/>
                <w:sz w:val="24"/>
                <w:szCs w:val="24"/>
              </w:rPr>
              <w:instrText xml:space="preserve"> PAGEREF _Toc120864773 \h </w:instrText>
            </w:r>
            <w:r>
              <w:rPr>
                <w:rFonts w:ascii="Times New Roman" w:hAnsi="Times New Roman" w:cs="Times New Roman" w:hint="default"/>
                <w:sz w:val="24"/>
                <w:szCs w:val="24"/>
              </w:rPr>
              <w:fldChar w:fldCharType="separate"/>
            </w:r>
            <w:r>
              <w:rPr>
                <w:rFonts w:ascii="Times New Roman" w:hAnsi="Times New Roman" w:cs="Times New Roman" w:hint="default"/>
                <w:sz w:val="24"/>
                <w:szCs w:val="24"/>
              </w:rPr>
              <w:t>3</w:t>
            </w:r>
            <w:r>
              <w:rPr>
                <w:rFonts w:ascii="Times New Roman" w:hAnsi="Times New Roman" w:cs="Times New Roman" w:hint="default"/>
                <w:sz w:val="24"/>
                <w:szCs w:val="24"/>
              </w:rPr>
              <w:fldChar w:fldCharType="end"/>
            </w:r>
          </w:hyperlink>
        </w:p>
        <w:p>
          <w:pPr>
            <w:pStyle w:val="TOC2"/>
            <w:tabs>
              <w:tab w:val="right" w:leader="dot" w:pos="9350"/>
            </w:tabs>
            <w:spacing w:line="480" w:lineRule="auto"/>
            <w:rPr>
              <w:rFonts w:ascii="Times New Roman" w:hAnsi="Times New Roman" w:cs="Times New Roman" w:hint="default"/>
              <w:sz w:val="24"/>
              <w:szCs w:val="24"/>
            </w:rPr>
          </w:pPr>
          <w:hyperlink w:anchor="_Toc120864774" w:history="1">
            <w:r>
              <w:rPr>
                <w:rStyle w:val="Hyperlink"/>
                <w:rFonts w:ascii="Times New Roman" w:hAnsi="Times New Roman" w:cs="Times New Roman" w:hint="default"/>
                <w:sz w:val="24"/>
                <w:szCs w:val="24"/>
              </w:rPr>
              <w:t>1.3 Research Objectives</w:t>
            </w:r>
            <w:r>
              <w:rPr>
                <w:rFonts w:ascii="Times New Roman" w:hAnsi="Times New Roman" w:cs="Times New Roman" w:hint="default"/>
                <w:sz w:val="24"/>
                <w:szCs w:val="24"/>
              </w:rPr>
              <w:tab/>
            </w:r>
            <w:r>
              <w:rPr>
                <w:rFonts w:ascii="Times New Roman" w:hAnsi="Times New Roman" w:cs="Times New Roman" w:hint="default"/>
                <w:sz w:val="24"/>
                <w:szCs w:val="24"/>
              </w:rPr>
              <w:fldChar w:fldCharType="begin"/>
            </w:r>
            <w:r>
              <w:rPr>
                <w:rFonts w:ascii="Times New Roman" w:hAnsi="Times New Roman" w:cs="Times New Roman" w:hint="default"/>
                <w:sz w:val="24"/>
                <w:szCs w:val="24"/>
              </w:rPr>
              <w:instrText xml:space="preserve"> PAGEREF _Toc120864774 \h </w:instrText>
            </w:r>
            <w:r>
              <w:rPr>
                <w:rFonts w:ascii="Times New Roman" w:hAnsi="Times New Roman" w:cs="Times New Roman" w:hint="default"/>
                <w:sz w:val="24"/>
                <w:szCs w:val="24"/>
              </w:rPr>
              <w:fldChar w:fldCharType="separate"/>
            </w:r>
            <w:r>
              <w:rPr>
                <w:rFonts w:ascii="Times New Roman" w:hAnsi="Times New Roman" w:cs="Times New Roman" w:hint="default"/>
                <w:sz w:val="24"/>
                <w:szCs w:val="24"/>
              </w:rPr>
              <w:t>4</w:t>
            </w:r>
            <w:r>
              <w:rPr>
                <w:rFonts w:ascii="Times New Roman" w:hAnsi="Times New Roman" w:cs="Times New Roman" w:hint="default"/>
                <w:sz w:val="24"/>
                <w:szCs w:val="24"/>
              </w:rPr>
              <w:fldChar w:fldCharType="end"/>
            </w:r>
          </w:hyperlink>
        </w:p>
        <w:p>
          <w:pPr>
            <w:pStyle w:val="TOC2"/>
            <w:tabs>
              <w:tab w:val="right" w:leader="dot" w:pos="9350"/>
            </w:tabs>
            <w:spacing w:line="480" w:lineRule="auto"/>
            <w:rPr>
              <w:rFonts w:ascii="Times New Roman" w:hAnsi="Times New Roman" w:cs="Times New Roman" w:hint="default"/>
              <w:sz w:val="24"/>
              <w:szCs w:val="24"/>
            </w:rPr>
          </w:pPr>
          <w:hyperlink w:anchor="_Toc120864775" w:history="1">
            <w:r>
              <w:rPr>
                <w:rStyle w:val="Hyperlink"/>
                <w:rFonts w:ascii="Times New Roman" w:hAnsi="Times New Roman" w:cs="Times New Roman" w:hint="default"/>
                <w:sz w:val="24"/>
                <w:szCs w:val="24"/>
              </w:rPr>
              <w:t>1.4 Research Aims</w:t>
            </w:r>
            <w:r>
              <w:rPr>
                <w:rFonts w:ascii="Times New Roman" w:hAnsi="Times New Roman" w:cs="Times New Roman" w:hint="default"/>
                <w:sz w:val="24"/>
                <w:szCs w:val="24"/>
              </w:rPr>
              <w:tab/>
            </w:r>
            <w:r>
              <w:rPr>
                <w:rFonts w:ascii="Times New Roman" w:hAnsi="Times New Roman" w:cs="Times New Roman" w:hint="default"/>
                <w:sz w:val="24"/>
                <w:szCs w:val="24"/>
              </w:rPr>
              <w:fldChar w:fldCharType="begin"/>
            </w:r>
            <w:r>
              <w:rPr>
                <w:rFonts w:ascii="Times New Roman" w:hAnsi="Times New Roman" w:cs="Times New Roman" w:hint="default"/>
                <w:sz w:val="24"/>
                <w:szCs w:val="24"/>
              </w:rPr>
              <w:instrText xml:space="preserve"> PAGEREF _Toc120864775 \h </w:instrText>
            </w:r>
            <w:r>
              <w:rPr>
                <w:rFonts w:ascii="Times New Roman" w:hAnsi="Times New Roman" w:cs="Times New Roman" w:hint="default"/>
                <w:sz w:val="24"/>
                <w:szCs w:val="24"/>
              </w:rPr>
              <w:fldChar w:fldCharType="separate"/>
            </w:r>
            <w:r>
              <w:rPr>
                <w:rFonts w:ascii="Times New Roman" w:hAnsi="Times New Roman" w:cs="Times New Roman" w:hint="default"/>
                <w:sz w:val="24"/>
                <w:szCs w:val="24"/>
              </w:rPr>
              <w:t>4</w:t>
            </w:r>
            <w:r>
              <w:rPr>
                <w:rFonts w:ascii="Times New Roman" w:hAnsi="Times New Roman" w:cs="Times New Roman" w:hint="default"/>
                <w:sz w:val="24"/>
                <w:szCs w:val="24"/>
              </w:rPr>
              <w:fldChar w:fldCharType="end"/>
            </w:r>
          </w:hyperlink>
        </w:p>
        <w:p>
          <w:pPr>
            <w:pStyle w:val="TOC2"/>
            <w:tabs>
              <w:tab w:val="right" w:leader="dot" w:pos="9350"/>
            </w:tabs>
            <w:spacing w:line="480" w:lineRule="auto"/>
            <w:rPr>
              <w:rFonts w:ascii="Times New Roman" w:hAnsi="Times New Roman" w:cs="Times New Roman" w:hint="default"/>
              <w:sz w:val="24"/>
              <w:szCs w:val="24"/>
            </w:rPr>
          </w:pPr>
          <w:hyperlink w:anchor="_Toc120864776" w:history="1">
            <w:r>
              <w:rPr>
                <w:rStyle w:val="Hyperlink"/>
                <w:rFonts w:ascii="Times New Roman" w:hAnsi="Times New Roman" w:cs="Times New Roman" w:hint="default"/>
                <w:sz w:val="24"/>
                <w:szCs w:val="24"/>
              </w:rPr>
              <w:t>1.5 Research Questions</w:t>
            </w:r>
            <w:r>
              <w:rPr>
                <w:rFonts w:ascii="Times New Roman" w:hAnsi="Times New Roman" w:cs="Times New Roman" w:hint="default"/>
                <w:sz w:val="24"/>
                <w:szCs w:val="24"/>
              </w:rPr>
              <w:tab/>
            </w:r>
            <w:r>
              <w:rPr>
                <w:rFonts w:ascii="Times New Roman" w:hAnsi="Times New Roman" w:cs="Times New Roman" w:hint="default"/>
                <w:sz w:val="24"/>
                <w:szCs w:val="24"/>
              </w:rPr>
              <w:fldChar w:fldCharType="begin"/>
            </w:r>
            <w:r>
              <w:rPr>
                <w:rFonts w:ascii="Times New Roman" w:hAnsi="Times New Roman" w:cs="Times New Roman" w:hint="default"/>
                <w:sz w:val="24"/>
                <w:szCs w:val="24"/>
              </w:rPr>
              <w:instrText xml:space="preserve"> PAGEREF _Toc120864776 \h </w:instrText>
            </w:r>
            <w:r>
              <w:rPr>
                <w:rFonts w:ascii="Times New Roman" w:hAnsi="Times New Roman" w:cs="Times New Roman" w:hint="default"/>
                <w:sz w:val="24"/>
                <w:szCs w:val="24"/>
              </w:rPr>
              <w:fldChar w:fldCharType="separate"/>
            </w:r>
            <w:r>
              <w:rPr>
                <w:rFonts w:ascii="Times New Roman" w:hAnsi="Times New Roman" w:cs="Times New Roman" w:hint="default"/>
                <w:sz w:val="24"/>
                <w:szCs w:val="24"/>
              </w:rPr>
              <w:t>5</w:t>
            </w:r>
            <w:r>
              <w:rPr>
                <w:rFonts w:ascii="Times New Roman" w:hAnsi="Times New Roman" w:cs="Times New Roman" w:hint="default"/>
                <w:sz w:val="24"/>
                <w:szCs w:val="24"/>
              </w:rPr>
              <w:fldChar w:fldCharType="end"/>
            </w:r>
          </w:hyperlink>
        </w:p>
        <w:p>
          <w:pPr>
            <w:pStyle w:val="TOC2"/>
            <w:tabs>
              <w:tab w:val="right" w:leader="dot" w:pos="9350"/>
            </w:tabs>
            <w:spacing w:line="480" w:lineRule="auto"/>
            <w:rPr>
              <w:rFonts w:ascii="Times New Roman" w:hAnsi="Times New Roman" w:cs="Times New Roman" w:hint="default"/>
              <w:sz w:val="24"/>
              <w:szCs w:val="24"/>
            </w:rPr>
          </w:pPr>
          <w:hyperlink w:anchor="_Toc120864777" w:history="1">
            <w:r>
              <w:rPr>
                <w:rStyle w:val="Hyperlink"/>
                <w:rFonts w:ascii="Times New Roman" w:hAnsi="Times New Roman" w:cs="Times New Roman" w:hint="default"/>
                <w:sz w:val="24"/>
                <w:szCs w:val="24"/>
              </w:rPr>
              <w:t>1.6 Significance of study</w:t>
            </w:r>
            <w:r>
              <w:rPr>
                <w:rFonts w:ascii="Times New Roman" w:hAnsi="Times New Roman" w:cs="Times New Roman" w:hint="default"/>
                <w:sz w:val="24"/>
                <w:szCs w:val="24"/>
              </w:rPr>
              <w:tab/>
            </w:r>
            <w:r>
              <w:rPr>
                <w:rFonts w:ascii="Times New Roman" w:hAnsi="Times New Roman" w:cs="Times New Roman" w:hint="default"/>
                <w:sz w:val="24"/>
                <w:szCs w:val="24"/>
              </w:rPr>
              <w:fldChar w:fldCharType="begin"/>
            </w:r>
            <w:r>
              <w:rPr>
                <w:rFonts w:ascii="Times New Roman" w:hAnsi="Times New Roman" w:cs="Times New Roman" w:hint="default"/>
                <w:sz w:val="24"/>
                <w:szCs w:val="24"/>
              </w:rPr>
              <w:instrText xml:space="preserve"> PAGEREF _Toc120864777 \h </w:instrText>
            </w:r>
            <w:r>
              <w:rPr>
                <w:rFonts w:ascii="Times New Roman" w:hAnsi="Times New Roman" w:cs="Times New Roman" w:hint="default"/>
                <w:sz w:val="24"/>
                <w:szCs w:val="24"/>
              </w:rPr>
              <w:fldChar w:fldCharType="separate"/>
            </w:r>
            <w:r>
              <w:rPr>
                <w:rFonts w:ascii="Times New Roman" w:hAnsi="Times New Roman" w:cs="Times New Roman" w:hint="default"/>
                <w:sz w:val="24"/>
                <w:szCs w:val="24"/>
              </w:rPr>
              <w:t>5</w:t>
            </w:r>
            <w:r>
              <w:rPr>
                <w:rFonts w:ascii="Times New Roman" w:hAnsi="Times New Roman" w:cs="Times New Roman" w:hint="default"/>
                <w:sz w:val="24"/>
                <w:szCs w:val="24"/>
              </w:rPr>
              <w:fldChar w:fldCharType="end"/>
            </w:r>
          </w:hyperlink>
        </w:p>
        <w:p>
          <w:pPr>
            <w:pStyle w:val="TOC2"/>
            <w:tabs>
              <w:tab w:val="right" w:leader="dot" w:pos="9350"/>
            </w:tabs>
            <w:spacing w:line="480" w:lineRule="auto"/>
            <w:rPr>
              <w:rFonts w:ascii="Times New Roman" w:hAnsi="Times New Roman" w:cs="Times New Roman" w:hint="default"/>
              <w:sz w:val="24"/>
              <w:szCs w:val="24"/>
            </w:rPr>
          </w:pPr>
          <w:hyperlink w:anchor="_Toc120864778" w:history="1">
            <w:r>
              <w:rPr>
                <w:rStyle w:val="Hyperlink"/>
                <w:rFonts w:ascii="Times New Roman" w:hAnsi="Times New Roman" w:cs="Times New Roman" w:hint="default"/>
                <w:sz w:val="24"/>
                <w:szCs w:val="24"/>
              </w:rPr>
              <w:t>1.7 Definition of terms</w:t>
            </w:r>
            <w:r>
              <w:rPr>
                <w:rFonts w:ascii="Times New Roman" w:hAnsi="Times New Roman" w:cs="Times New Roman" w:hint="default"/>
                <w:sz w:val="24"/>
                <w:szCs w:val="24"/>
              </w:rPr>
              <w:tab/>
            </w:r>
            <w:r>
              <w:rPr>
                <w:rFonts w:ascii="Times New Roman" w:hAnsi="Times New Roman" w:cs="Times New Roman" w:hint="default"/>
                <w:sz w:val="24"/>
                <w:szCs w:val="24"/>
              </w:rPr>
              <w:fldChar w:fldCharType="begin"/>
            </w:r>
            <w:r>
              <w:rPr>
                <w:rFonts w:ascii="Times New Roman" w:hAnsi="Times New Roman" w:cs="Times New Roman" w:hint="default"/>
                <w:sz w:val="24"/>
                <w:szCs w:val="24"/>
              </w:rPr>
              <w:instrText xml:space="preserve"> PAGEREF _Toc120864778 \h </w:instrText>
            </w:r>
            <w:r>
              <w:rPr>
                <w:rFonts w:ascii="Times New Roman" w:hAnsi="Times New Roman" w:cs="Times New Roman" w:hint="default"/>
                <w:sz w:val="24"/>
                <w:szCs w:val="24"/>
              </w:rPr>
              <w:fldChar w:fldCharType="separate"/>
            </w:r>
            <w:r>
              <w:rPr>
                <w:rFonts w:ascii="Times New Roman" w:hAnsi="Times New Roman" w:cs="Times New Roman" w:hint="default"/>
                <w:sz w:val="24"/>
                <w:szCs w:val="24"/>
              </w:rPr>
              <w:t>5</w:t>
            </w:r>
            <w:r>
              <w:rPr>
                <w:rFonts w:ascii="Times New Roman" w:hAnsi="Times New Roman" w:cs="Times New Roman" w:hint="default"/>
                <w:sz w:val="24"/>
                <w:szCs w:val="24"/>
              </w:rPr>
              <w:fldChar w:fldCharType="end"/>
            </w:r>
          </w:hyperlink>
        </w:p>
        <w:p>
          <w:pPr>
            <w:pStyle w:val="TOC1"/>
            <w:tabs>
              <w:tab w:val="right" w:leader="dot" w:pos="9350"/>
            </w:tabs>
            <w:spacing w:line="480" w:lineRule="auto"/>
            <w:rPr>
              <w:rFonts w:ascii="Times New Roman" w:hAnsi="Times New Roman" w:cs="Times New Roman" w:hint="default"/>
              <w:sz w:val="24"/>
              <w:szCs w:val="24"/>
            </w:rPr>
          </w:pPr>
          <w:hyperlink w:anchor="_Toc120864779" w:history="1">
            <w:r>
              <w:rPr>
                <w:rStyle w:val="Hyperlink"/>
                <w:rFonts w:ascii="Times New Roman" w:hAnsi="Times New Roman" w:cs="Times New Roman" w:hint="default"/>
                <w:sz w:val="24"/>
                <w:szCs w:val="24"/>
              </w:rPr>
              <w:t>CHAPTER TWO: LITERATURE REVIEW</w:t>
            </w:r>
            <w:r>
              <w:rPr>
                <w:rFonts w:ascii="Times New Roman" w:hAnsi="Times New Roman" w:cs="Times New Roman" w:hint="default"/>
                <w:sz w:val="24"/>
                <w:szCs w:val="24"/>
              </w:rPr>
              <w:tab/>
            </w:r>
            <w:r>
              <w:rPr>
                <w:rFonts w:ascii="Times New Roman" w:hAnsi="Times New Roman" w:cs="Times New Roman" w:hint="default"/>
                <w:sz w:val="24"/>
                <w:szCs w:val="24"/>
              </w:rPr>
              <w:fldChar w:fldCharType="begin"/>
            </w:r>
            <w:r>
              <w:rPr>
                <w:rFonts w:ascii="Times New Roman" w:hAnsi="Times New Roman" w:cs="Times New Roman" w:hint="default"/>
                <w:sz w:val="24"/>
                <w:szCs w:val="24"/>
              </w:rPr>
              <w:instrText xml:space="preserve"> PAGEREF _Toc120864779 \h </w:instrText>
            </w:r>
            <w:r>
              <w:rPr>
                <w:rFonts w:ascii="Times New Roman" w:hAnsi="Times New Roman" w:cs="Times New Roman" w:hint="default"/>
                <w:sz w:val="24"/>
                <w:szCs w:val="24"/>
              </w:rPr>
              <w:fldChar w:fldCharType="separate"/>
            </w:r>
            <w:r>
              <w:rPr>
                <w:rFonts w:ascii="Times New Roman" w:hAnsi="Times New Roman" w:cs="Times New Roman" w:hint="default"/>
                <w:sz w:val="24"/>
                <w:szCs w:val="24"/>
              </w:rPr>
              <w:t>7</w:t>
            </w:r>
            <w:r>
              <w:rPr>
                <w:rFonts w:ascii="Times New Roman" w:hAnsi="Times New Roman" w:cs="Times New Roman" w:hint="default"/>
                <w:sz w:val="24"/>
                <w:szCs w:val="24"/>
              </w:rPr>
              <w:fldChar w:fldCharType="end"/>
            </w:r>
          </w:hyperlink>
        </w:p>
        <w:p>
          <w:pPr>
            <w:pStyle w:val="TOC2"/>
            <w:tabs>
              <w:tab w:val="right" w:leader="dot" w:pos="9350"/>
            </w:tabs>
            <w:spacing w:line="480" w:lineRule="auto"/>
            <w:rPr>
              <w:rFonts w:ascii="Times New Roman" w:hAnsi="Times New Roman" w:cs="Times New Roman" w:hint="default"/>
              <w:sz w:val="24"/>
              <w:szCs w:val="24"/>
            </w:rPr>
          </w:pPr>
          <w:hyperlink w:anchor="_Toc120864780" w:history="1">
            <w:r>
              <w:rPr>
                <w:rStyle w:val="Hyperlink"/>
                <w:rFonts w:ascii="Times New Roman" w:hAnsi="Times New Roman" w:cs="Times New Roman" w:hint="default"/>
                <w:sz w:val="24"/>
                <w:szCs w:val="24"/>
              </w:rPr>
              <w:t>2.0 Overview</w:t>
            </w:r>
            <w:r>
              <w:rPr>
                <w:rFonts w:ascii="Times New Roman" w:hAnsi="Times New Roman" w:cs="Times New Roman" w:hint="default"/>
                <w:sz w:val="24"/>
                <w:szCs w:val="24"/>
              </w:rPr>
              <w:tab/>
            </w:r>
            <w:r>
              <w:rPr>
                <w:rFonts w:ascii="Times New Roman" w:hAnsi="Times New Roman" w:cs="Times New Roman" w:hint="default"/>
                <w:sz w:val="24"/>
                <w:szCs w:val="24"/>
              </w:rPr>
              <w:fldChar w:fldCharType="begin"/>
            </w:r>
            <w:r>
              <w:rPr>
                <w:rFonts w:ascii="Times New Roman" w:hAnsi="Times New Roman" w:cs="Times New Roman" w:hint="default"/>
                <w:sz w:val="24"/>
                <w:szCs w:val="24"/>
              </w:rPr>
              <w:instrText xml:space="preserve"> PAGEREF _Toc120864780 \h </w:instrText>
            </w:r>
            <w:r>
              <w:rPr>
                <w:rFonts w:ascii="Times New Roman" w:hAnsi="Times New Roman" w:cs="Times New Roman" w:hint="default"/>
                <w:sz w:val="24"/>
                <w:szCs w:val="24"/>
              </w:rPr>
              <w:fldChar w:fldCharType="separate"/>
            </w:r>
            <w:r>
              <w:rPr>
                <w:rFonts w:ascii="Times New Roman" w:hAnsi="Times New Roman" w:cs="Times New Roman" w:hint="default"/>
                <w:sz w:val="24"/>
                <w:szCs w:val="24"/>
              </w:rPr>
              <w:t>7</w:t>
            </w:r>
            <w:r>
              <w:rPr>
                <w:rFonts w:ascii="Times New Roman" w:hAnsi="Times New Roman" w:cs="Times New Roman" w:hint="default"/>
                <w:sz w:val="24"/>
                <w:szCs w:val="24"/>
              </w:rPr>
              <w:fldChar w:fldCharType="end"/>
            </w:r>
          </w:hyperlink>
        </w:p>
        <w:p>
          <w:pPr>
            <w:pStyle w:val="TOC1"/>
            <w:tabs>
              <w:tab w:val="right" w:leader="dot" w:pos="9350"/>
            </w:tabs>
            <w:spacing w:line="480" w:lineRule="auto"/>
            <w:rPr>
              <w:rFonts w:ascii="Times New Roman" w:hAnsi="Times New Roman" w:cs="Times New Roman" w:hint="default"/>
              <w:sz w:val="24"/>
              <w:szCs w:val="24"/>
            </w:rPr>
          </w:pPr>
          <w:hyperlink w:anchor="_Toc120864781" w:history="1">
            <w:r>
              <w:rPr>
                <w:rStyle w:val="Hyperlink"/>
                <w:rFonts w:ascii="Times New Roman" w:hAnsi="Times New Roman" w:cs="Times New Roman" w:hint="default"/>
                <w:sz w:val="24"/>
                <w:szCs w:val="24"/>
              </w:rPr>
              <w:t>CHAPTER THREE: RESEARCH METHODOLOGY</w:t>
            </w:r>
            <w:r>
              <w:rPr>
                <w:rFonts w:ascii="Times New Roman" w:hAnsi="Times New Roman" w:cs="Times New Roman" w:hint="default"/>
                <w:sz w:val="24"/>
                <w:szCs w:val="24"/>
              </w:rPr>
              <w:tab/>
            </w:r>
            <w:r>
              <w:rPr>
                <w:rFonts w:ascii="Times New Roman" w:hAnsi="Times New Roman" w:cs="Times New Roman" w:hint="default"/>
                <w:sz w:val="24"/>
                <w:szCs w:val="24"/>
              </w:rPr>
              <w:fldChar w:fldCharType="begin"/>
            </w:r>
            <w:r>
              <w:rPr>
                <w:rFonts w:ascii="Times New Roman" w:hAnsi="Times New Roman" w:cs="Times New Roman" w:hint="default"/>
                <w:sz w:val="24"/>
                <w:szCs w:val="24"/>
              </w:rPr>
              <w:instrText xml:space="preserve"> PAGEREF _Toc120864781 \h </w:instrText>
            </w:r>
            <w:r>
              <w:rPr>
                <w:rFonts w:ascii="Times New Roman" w:hAnsi="Times New Roman" w:cs="Times New Roman" w:hint="default"/>
                <w:sz w:val="24"/>
                <w:szCs w:val="24"/>
              </w:rPr>
              <w:fldChar w:fldCharType="separate"/>
            </w:r>
            <w:r>
              <w:rPr>
                <w:rFonts w:ascii="Times New Roman" w:hAnsi="Times New Roman" w:cs="Times New Roman" w:hint="default"/>
                <w:sz w:val="24"/>
                <w:szCs w:val="24"/>
              </w:rPr>
              <w:t>9</w:t>
            </w:r>
            <w:r>
              <w:rPr>
                <w:rFonts w:ascii="Times New Roman" w:hAnsi="Times New Roman" w:cs="Times New Roman" w:hint="default"/>
                <w:sz w:val="24"/>
                <w:szCs w:val="24"/>
              </w:rPr>
              <w:fldChar w:fldCharType="end"/>
            </w:r>
          </w:hyperlink>
        </w:p>
        <w:p>
          <w:pPr>
            <w:pStyle w:val="TOC2"/>
            <w:tabs>
              <w:tab w:val="right" w:leader="dot" w:pos="9350"/>
            </w:tabs>
            <w:spacing w:line="480" w:lineRule="auto"/>
            <w:rPr>
              <w:rFonts w:ascii="Times New Roman" w:hAnsi="Times New Roman" w:cs="Times New Roman" w:hint="default"/>
              <w:sz w:val="24"/>
              <w:szCs w:val="24"/>
            </w:rPr>
          </w:pPr>
          <w:hyperlink w:anchor="_Toc120864782" w:history="1">
            <w:r>
              <w:rPr>
                <w:rStyle w:val="Hyperlink"/>
                <w:rFonts w:ascii="Times New Roman" w:hAnsi="Times New Roman" w:cs="Times New Roman" w:hint="default"/>
                <w:sz w:val="24"/>
                <w:szCs w:val="24"/>
              </w:rPr>
              <w:t>3.1 Research Approach</w:t>
            </w:r>
            <w:r>
              <w:rPr>
                <w:rFonts w:ascii="Times New Roman" w:hAnsi="Times New Roman" w:cs="Times New Roman" w:hint="default"/>
                <w:sz w:val="24"/>
                <w:szCs w:val="24"/>
              </w:rPr>
              <w:tab/>
            </w:r>
            <w:r>
              <w:rPr>
                <w:rFonts w:ascii="Times New Roman" w:hAnsi="Times New Roman" w:cs="Times New Roman" w:hint="default"/>
                <w:sz w:val="24"/>
                <w:szCs w:val="24"/>
              </w:rPr>
              <w:fldChar w:fldCharType="begin"/>
            </w:r>
            <w:r>
              <w:rPr>
                <w:rFonts w:ascii="Times New Roman" w:hAnsi="Times New Roman" w:cs="Times New Roman" w:hint="default"/>
                <w:sz w:val="24"/>
                <w:szCs w:val="24"/>
              </w:rPr>
              <w:instrText xml:space="preserve"> PAGEREF _Toc120864782 \h </w:instrText>
            </w:r>
            <w:r>
              <w:rPr>
                <w:rFonts w:ascii="Times New Roman" w:hAnsi="Times New Roman" w:cs="Times New Roman" w:hint="default"/>
                <w:sz w:val="24"/>
                <w:szCs w:val="24"/>
              </w:rPr>
              <w:fldChar w:fldCharType="separate"/>
            </w:r>
            <w:r>
              <w:rPr>
                <w:rFonts w:ascii="Times New Roman" w:hAnsi="Times New Roman" w:cs="Times New Roman" w:hint="default"/>
                <w:sz w:val="24"/>
                <w:szCs w:val="24"/>
              </w:rPr>
              <w:t>9</w:t>
            </w:r>
            <w:r>
              <w:rPr>
                <w:rFonts w:ascii="Times New Roman" w:hAnsi="Times New Roman" w:cs="Times New Roman" w:hint="default"/>
                <w:sz w:val="24"/>
                <w:szCs w:val="24"/>
              </w:rPr>
              <w:fldChar w:fldCharType="end"/>
            </w:r>
          </w:hyperlink>
        </w:p>
        <w:p>
          <w:pPr>
            <w:pStyle w:val="TOC2"/>
            <w:tabs>
              <w:tab w:val="right" w:leader="dot" w:pos="9350"/>
            </w:tabs>
            <w:spacing w:line="480" w:lineRule="auto"/>
            <w:rPr>
              <w:rFonts w:ascii="Times New Roman" w:hAnsi="Times New Roman" w:cs="Times New Roman" w:hint="default"/>
              <w:sz w:val="24"/>
              <w:szCs w:val="24"/>
            </w:rPr>
          </w:pPr>
          <w:hyperlink w:anchor="_Toc120864783" w:history="1">
            <w:r>
              <w:rPr>
                <w:rStyle w:val="Hyperlink"/>
                <w:rFonts w:ascii="Times New Roman" w:hAnsi="Times New Roman" w:cs="Times New Roman" w:hint="default"/>
                <w:sz w:val="24"/>
                <w:szCs w:val="24"/>
              </w:rPr>
              <w:t>3.2 Research Strategy</w:t>
            </w:r>
            <w:r>
              <w:rPr>
                <w:rFonts w:ascii="Times New Roman" w:hAnsi="Times New Roman" w:cs="Times New Roman" w:hint="default"/>
                <w:sz w:val="24"/>
                <w:szCs w:val="24"/>
              </w:rPr>
              <w:tab/>
            </w:r>
            <w:r>
              <w:rPr>
                <w:rFonts w:ascii="Times New Roman" w:hAnsi="Times New Roman" w:cs="Times New Roman" w:hint="default"/>
                <w:sz w:val="24"/>
                <w:szCs w:val="24"/>
              </w:rPr>
              <w:fldChar w:fldCharType="begin"/>
            </w:r>
            <w:r>
              <w:rPr>
                <w:rFonts w:ascii="Times New Roman" w:hAnsi="Times New Roman" w:cs="Times New Roman" w:hint="default"/>
                <w:sz w:val="24"/>
                <w:szCs w:val="24"/>
              </w:rPr>
              <w:instrText xml:space="preserve"> PAGEREF _Toc120864783 \h </w:instrText>
            </w:r>
            <w:r>
              <w:rPr>
                <w:rFonts w:ascii="Times New Roman" w:hAnsi="Times New Roman" w:cs="Times New Roman" w:hint="default"/>
                <w:sz w:val="24"/>
                <w:szCs w:val="24"/>
              </w:rPr>
              <w:fldChar w:fldCharType="separate"/>
            </w:r>
            <w:r>
              <w:rPr>
                <w:rFonts w:ascii="Times New Roman" w:hAnsi="Times New Roman" w:cs="Times New Roman" w:hint="default"/>
                <w:sz w:val="24"/>
                <w:szCs w:val="24"/>
              </w:rPr>
              <w:t>9</w:t>
            </w:r>
            <w:r>
              <w:rPr>
                <w:rFonts w:ascii="Times New Roman" w:hAnsi="Times New Roman" w:cs="Times New Roman" w:hint="default"/>
                <w:sz w:val="24"/>
                <w:szCs w:val="24"/>
              </w:rPr>
              <w:fldChar w:fldCharType="end"/>
            </w:r>
          </w:hyperlink>
        </w:p>
        <w:p>
          <w:pPr>
            <w:pStyle w:val="TOC2"/>
            <w:tabs>
              <w:tab w:val="right" w:leader="dot" w:pos="9350"/>
            </w:tabs>
            <w:spacing w:line="480" w:lineRule="auto"/>
            <w:rPr>
              <w:rFonts w:ascii="Times New Roman" w:hAnsi="Times New Roman" w:cs="Times New Roman" w:hint="default"/>
              <w:sz w:val="24"/>
              <w:szCs w:val="24"/>
            </w:rPr>
          </w:pPr>
          <w:hyperlink w:anchor="_Toc120864784" w:history="1">
            <w:r>
              <w:rPr>
                <w:rStyle w:val="Hyperlink"/>
                <w:rFonts w:ascii="Times New Roman" w:hAnsi="Times New Roman" w:cs="Times New Roman" w:hint="default"/>
                <w:sz w:val="24"/>
                <w:szCs w:val="24"/>
              </w:rPr>
              <w:t>3.3 Method of Data Collection</w:t>
            </w:r>
            <w:r>
              <w:rPr>
                <w:rFonts w:ascii="Times New Roman" w:hAnsi="Times New Roman" w:cs="Times New Roman" w:hint="default"/>
                <w:sz w:val="24"/>
                <w:szCs w:val="24"/>
              </w:rPr>
              <w:tab/>
            </w:r>
            <w:r>
              <w:rPr>
                <w:rFonts w:ascii="Times New Roman" w:hAnsi="Times New Roman" w:cs="Times New Roman" w:hint="default"/>
                <w:sz w:val="24"/>
                <w:szCs w:val="24"/>
              </w:rPr>
              <w:fldChar w:fldCharType="begin"/>
            </w:r>
            <w:r>
              <w:rPr>
                <w:rFonts w:ascii="Times New Roman" w:hAnsi="Times New Roman" w:cs="Times New Roman" w:hint="default"/>
                <w:sz w:val="24"/>
                <w:szCs w:val="24"/>
              </w:rPr>
              <w:instrText xml:space="preserve"> PAGEREF _Toc120864784 \h </w:instrText>
            </w:r>
            <w:r>
              <w:rPr>
                <w:rFonts w:ascii="Times New Roman" w:hAnsi="Times New Roman" w:cs="Times New Roman" w:hint="default"/>
                <w:sz w:val="24"/>
                <w:szCs w:val="24"/>
              </w:rPr>
              <w:fldChar w:fldCharType="separate"/>
            </w:r>
            <w:r>
              <w:rPr>
                <w:rFonts w:ascii="Times New Roman" w:hAnsi="Times New Roman" w:cs="Times New Roman" w:hint="default"/>
                <w:sz w:val="24"/>
                <w:szCs w:val="24"/>
              </w:rPr>
              <w:t>10</w:t>
            </w:r>
            <w:r>
              <w:rPr>
                <w:rFonts w:ascii="Times New Roman" w:hAnsi="Times New Roman" w:cs="Times New Roman" w:hint="default"/>
                <w:sz w:val="24"/>
                <w:szCs w:val="24"/>
              </w:rPr>
              <w:fldChar w:fldCharType="end"/>
            </w:r>
          </w:hyperlink>
        </w:p>
        <w:p>
          <w:pPr>
            <w:pStyle w:val="TOC2"/>
            <w:tabs>
              <w:tab w:val="right" w:leader="dot" w:pos="9350"/>
            </w:tabs>
            <w:spacing w:line="480" w:lineRule="auto"/>
            <w:rPr>
              <w:rFonts w:ascii="Times New Roman" w:hAnsi="Times New Roman" w:cs="Times New Roman" w:hint="default"/>
              <w:sz w:val="24"/>
              <w:szCs w:val="24"/>
            </w:rPr>
          </w:pPr>
          <w:hyperlink w:anchor="_Toc120864785" w:history="1">
            <w:r>
              <w:rPr>
                <w:rStyle w:val="Hyperlink"/>
                <w:rFonts w:ascii="Times New Roman" w:hAnsi="Times New Roman" w:cs="Times New Roman" w:hint="default"/>
                <w:sz w:val="24"/>
                <w:szCs w:val="24"/>
              </w:rPr>
              <w:t>3.4 Validity and Reliability</w:t>
            </w:r>
            <w:r>
              <w:rPr>
                <w:rFonts w:ascii="Times New Roman" w:hAnsi="Times New Roman" w:cs="Times New Roman" w:hint="default"/>
                <w:sz w:val="24"/>
                <w:szCs w:val="24"/>
              </w:rPr>
              <w:tab/>
            </w:r>
            <w:r>
              <w:rPr>
                <w:rFonts w:ascii="Times New Roman" w:hAnsi="Times New Roman" w:cs="Times New Roman" w:hint="default"/>
                <w:sz w:val="24"/>
                <w:szCs w:val="24"/>
              </w:rPr>
              <w:fldChar w:fldCharType="begin"/>
            </w:r>
            <w:r>
              <w:rPr>
                <w:rFonts w:ascii="Times New Roman" w:hAnsi="Times New Roman" w:cs="Times New Roman" w:hint="default"/>
                <w:sz w:val="24"/>
                <w:szCs w:val="24"/>
              </w:rPr>
              <w:instrText xml:space="preserve"> PAGEREF _Toc120864785 \h </w:instrText>
            </w:r>
            <w:r>
              <w:rPr>
                <w:rFonts w:ascii="Times New Roman" w:hAnsi="Times New Roman" w:cs="Times New Roman" w:hint="default"/>
                <w:sz w:val="24"/>
                <w:szCs w:val="24"/>
              </w:rPr>
              <w:fldChar w:fldCharType="separate"/>
            </w:r>
            <w:r>
              <w:rPr>
                <w:rFonts w:ascii="Times New Roman" w:hAnsi="Times New Roman" w:cs="Times New Roman" w:hint="default"/>
                <w:sz w:val="24"/>
                <w:szCs w:val="24"/>
              </w:rPr>
              <w:t>10</w:t>
            </w:r>
            <w:r>
              <w:rPr>
                <w:rFonts w:ascii="Times New Roman" w:hAnsi="Times New Roman" w:cs="Times New Roman" w:hint="default"/>
                <w:sz w:val="24"/>
                <w:szCs w:val="24"/>
              </w:rPr>
              <w:fldChar w:fldCharType="end"/>
            </w:r>
          </w:hyperlink>
        </w:p>
        <w:p>
          <w:pPr>
            <w:pStyle w:val="TOC3"/>
            <w:tabs>
              <w:tab w:val="right" w:leader="dot" w:pos="9350"/>
            </w:tabs>
            <w:spacing w:line="480" w:lineRule="auto"/>
            <w:rPr>
              <w:rFonts w:ascii="Times New Roman" w:hAnsi="Times New Roman" w:cs="Times New Roman" w:hint="default"/>
              <w:sz w:val="24"/>
              <w:szCs w:val="24"/>
            </w:rPr>
          </w:pPr>
          <w:hyperlink w:anchor="_Toc120864786" w:history="1">
            <w:r>
              <w:rPr>
                <w:rStyle w:val="Hyperlink"/>
                <w:rFonts w:ascii="Times New Roman" w:hAnsi="Times New Roman" w:cs="Times New Roman" w:hint="default"/>
                <w:sz w:val="24"/>
                <w:szCs w:val="24"/>
              </w:rPr>
              <w:t>3.4.1 Validity</w:t>
            </w:r>
            <w:r>
              <w:rPr>
                <w:rFonts w:ascii="Times New Roman" w:hAnsi="Times New Roman" w:cs="Times New Roman" w:hint="default"/>
                <w:sz w:val="24"/>
                <w:szCs w:val="24"/>
              </w:rPr>
              <w:tab/>
            </w:r>
            <w:r>
              <w:rPr>
                <w:rFonts w:ascii="Times New Roman" w:hAnsi="Times New Roman" w:cs="Times New Roman" w:hint="default"/>
                <w:sz w:val="24"/>
                <w:szCs w:val="24"/>
              </w:rPr>
              <w:fldChar w:fldCharType="begin"/>
            </w:r>
            <w:r>
              <w:rPr>
                <w:rFonts w:ascii="Times New Roman" w:hAnsi="Times New Roman" w:cs="Times New Roman" w:hint="default"/>
                <w:sz w:val="24"/>
                <w:szCs w:val="24"/>
              </w:rPr>
              <w:instrText xml:space="preserve"> PAGEREF _Toc120864786 \h </w:instrText>
            </w:r>
            <w:r>
              <w:rPr>
                <w:rFonts w:ascii="Times New Roman" w:hAnsi="Times New Roman" w:cs="Times New Roman" w:hint="default"/>
                <w:sz w:val="24"/>
                <w:szCs w:val="24"/>
              </w:rPr>
              <w:fldChar w:fldCharType="separate"/>
            </w:r>
            <w:r>
              <w:rPr>
                <w:rFonts w:ascii="Times New Roman" w:hAnsi="Times New Roman" w:cs="Times New Roman" w:hint="default"/>
                <w:sz w:val="24"/>
                <w:szCs w:val="24"/>
              </w:rPr>
              <w:t>10</w:t>
            </w:r>
            <w:r>
              <w:rPr>
                <w:rFonts w:ascii="Times New Roman" w:hAnsi="Times New Roman" w:cs="Times New Roman" w:hint="default"/>
                <w:sz w:val="24"/>
                <w:szCs w:val="24"/>
              </w:rPr>
              <w:fldChar w:fldCharType="end"/>
            </w:r>
          </w:hyperlink>
        </w:p>
        <w:p>
          <w:pPr>
            <w:pStyle w:val="TOC3"/>
            <w:tabs>
              <w:tab w:val="right" w:leader="dot" w:pos="9350"/>
            </w:tabs>
            <w:spacing w:line="480" w:lineRule="auto"/>
            <w:rPr>
              <w:rFonts w:ascii="Times New Roman" w:hAnsi="Times New Roman" w:cs="Times New Roman" w:hint="default"/>
              <w:sz w:val="24"/>
              <w:szCs w:val="24"/>
            </w:rPr>
          </w:pPr>
          <w:hyperlink w:anchor="_Toc120864787" w:history="1">
            <w:r>
              <w:rPr>
                <w:rStyle w:val="Hyperlink"/>
                <w:rFonts w:ascii="Times New Roman" w:hAnsi="Times New Roman" w:cs="Times New Roman" w:hint="default"/>
                <w:sz w:val="24"/>
                <w:szCs w:val="24"/>
              </w:rPr>
              <w:t>3.4.2 Reliability</w:t>
            </w:r>
            <w:r>
              <w:rPr>
                <w:rFonts w:ascii="Times New Roman" w:hAnsi="Times New Roman" w:cs="Times New Roman" w:hint="default"/>
                <w:sz w:val="24"/>
                <w:szCs w:val="24"/>
              </w:rPr>
              <w:tab/>
            </w:r>
            <w:r>
              <w:rPr>
                <w:rFonts w:ascii="Times New Roman" w:hAnsi="Times New Roman" w:cs="Times New Roman" w:hint="default"/>
                <w:sz w:val="24"/>
                <w:szCs w:val="24"/>
              </w:rPr>
              <w:fldChar w:fldCharType="begin"/>
            </w:r>
            <w:r>
              <w:rPr>
                <w:rFonts w:ascii="Times New Roman" w:hAnsi="Times New Roman" w:cs="Times New Roman" w:hint="default"/>
                <w:sz w:val="24"/>
                <w:szCs w:val="24"/>
              </w:rPr>
              <w:instrText xml:space="preserve"> PAGEREF _Toc120864787 \h </w:instrText>
            </w:r>
            <w:r>
              <w:rPr>
                <w:rFonts w:ascii="Times New Roman" w:hAnsi="Times New Roman" w:cs="Times New Roman" w:hint="default"/>
                <w:sz w:val="24"/>
                <w:szCs w:val="24"/>
              </w:rPr>
              <w:fldChar w:fldCharType="separate"/>
            </w:r>
            <w:r>
              <w:rPr>
                <w:rFonts w:ascii="Times New Roman" w:hAnsi="Times New Roman" w:cs="Times New Roman" w:hint="default"/>
                <w:sz w:val="24"/>
                <w:szCs w:val="24"/>
              </w:rPr>
              <w:t>10</w:t>
            </w:r>
            <w:r>
              <w:rPr>
                <w:rFonts w:ascii="Times New Roman" w:hAnsi="Times New Roman" w:cs="Times New Roman" w:hint="default"/>
                <w:sz w:val="24"/>
                <w:szCs w:val="24"/>
              </w:rPr>
              <w:fldChar w:fldCharType="end"/>
            </w:r>
          </w:hyperlink>
        </w:p>
        <w:p>
          <w:pPr>
            <w:pStyle w:val="TOC2"/>
            <w:tabs>
              <w:tab w:val="right" w:leader="dot" w:pos="9350"/>
            </w:tabs>
            <w:spacing w:line="480" w:lineRule="auto"/>
            <w:rPr>
              <w:rFonts w:ascii="Times New Roman" w:hAnsi="Times New Roman" w:cs="Times New Roman" w:hint="default"/>
              <w:sz w:val="24"/>
              <w:szCs w:val="24"/>
            </w:rPr>
          </w:pPr>
          <w:hyperlink w:anchor="_Toc120864788" w:history="1">
            <w:r>
              <w:rPr>
                <w:rStyle w:val="Hyperlink"/>
                <w:rFonts w:ascii="Times New Roman" w:hAnsi="Times New Roman" w:cs="Times New Roman" w:hint="default"/>
                <w:sz w:val="24"/>
                <w:szCs w:val="24"/>
              </w:rPr>
              <w:t>3.5 Data Analysis</w:t>
            </w:r>
            <w:r>
              <w:rPr>
                <w:rFonts w:ascii="Times New Roman" w:hAnsi="Times New Roman" w:cs="Times New Roman" w:hint="default"/>
                <w:sz w:val="24"/>
                <w:szCs w:val="24"/>
              </w:rPr>
              <w:tab/>
            </w:r>
            <w:r>
              <w:rPr>
                <w:rFonts w:ascii="Times New Roman" w:hAnsi="Times New Roman" w:cs="Times New Roman" w:hint="default"/>
                <w:sz w:val="24"/>
                <w:szCs w:val="24"/>
              </w:rPr>
              <w:fldChar w:fldCharType="begin"/>
            </w:r>
            <w:r>
              <w:rPr>
                <w:rFonts w:ascii="Times New Roman" w:hAnsi="Times New Roman" w:cs="Times New Roman" w:hint="default"/>
                <w:sz w:val="24"/>
                <w:szCs w:val="24"/>
              </w:rPr>
              <w:instrText xml:space="preserve"> PAGEREF _Toc120864788 \h </w:instrText>
            </w:r>
            <w:r>
              <w:rPr>
                <w:rFonts w:ascii="Times New Roman" w:hAnsi="Times New Roman" w:cs="Times New Roman" w:hint="default"/>
                <w:sz w:val="24"/>
                <w:szCs w:val="24"/>
              </w:rPr>
              <w:fldChar w:fldCharType="separate"/>
            </w:r>
            <w:r>
              <w:rPr>
                <w:rFonts w:ascii="Times New Roman" w:hAnsi="Times New Roman" w:cs="Times New Roman" w:hint="default"/>
                <w:sz w:val="24"/>
                <w:szCs w:val="24"/>
              </w:rPr>
              <w:t>10</w:t>
            </w:r>
            <w:r>
              <w:rPr>
                <w:rFonts w:ascii="Times New Roman" w:hAnsi="Times New Roman" w:cs="Times New Roman" w:hint="default"/>
                <w:sz w:val="24"/>
                <w:szCs w:val="24"/>
              </w:rPr>
              <w:fldChar w:fldCharType="end"/>
            </w:r>
          </w:hyperlink>
        </w:p>
        <w:p>
          <w:pPr>
            <w:pStyle w:val="TOC2"/>
            <w:tabs>
              <w:tab w:val="right" w:leader="dot" w:pos="9350"/>
            </w:tabs>
            <w:spacing w:line="480" w:lineRule="auto"/>
            <w:rPr>
              <w:rFonts w:ascii="Times New Roman" w:hAnsi="Times New Roman" w:cs="Times New Roman" w:hint="default"/>
              <w:sz w:val="24"/>
              <w:szCs w:val="24"/>
            </w:rPr>
          </w:pPr>
          <w:hyperlink w:anchor="_Toc120864789" w:history="1">
            <w:r>
              <w:rPr>
                <w:rStyle w:val="Hyperlink"/>
                <w:rFonts w:ascii="Times New Roman" w:hAnsi="Times New Roman" w:cs="Times New Roman" w:hint="default"/>
                <w:sz w:val="24"/>
                <w:szCs w:val="24"/>
              </w:rPr>
              <w:t>3.6 Limitation of the Methodology</w:t>
            </w:r>
            <w:r>
              <w:rPr>
                <w:rFonts w:ascii="Times New Roman" w:hAnsi="Times New Roman" w:cs="Times New Roman" w:hint="default"/>
                <w:sz w:val="24"/>
                <w:szCs w:val="24"/>
              </w:rPr>
              <w:tab/>
            </w:r>
            <w:r>
              <w:rPr>
                <w:rFonts w:ascii="Times New Roman" w:hAnsi="Times New Roman" w:cs="Times New Roman" w:hint="default"/>
                <w:sz w:val="24"/>
                <w:szCs w:val="24"/>
              </w:rPr>
              <w:fldChar w:fldCharType="begin"/>
            </w:r>
            <w:r>
              <w:rPr>
                <w:rFonts w:ascii="Times New Roman" w:hAnsi="Times New Roman" w:cs="Times New Roman" w:hint="default"/>
                <w:sz w:val="24"/>
                <w:szCs w:val="24"/>
              </w:rPr>
              <w:instrText xml:space="preserve"> PAGEREF _Toc120864789 \h </w:instrText>
            </w:r>
            <w:r>
              <w:rPr>
                <w:rFonts w:ascii="Times New Roman" w:hAnsi="Times New Roman" w:cs="Times New Roman" w:hint="default"/>
                <w:sz w:val="24"/>
                <w:szCs w:val="24"/>
              </w:rPr>
              <w:fldChar w:fldCharType="separate"/>
            </w:r>
            <w:r>
              <w:rPr>
                <w:rFonts w:ascii="Times New Roman" w:hAnsi="Times New Roman" w:cs="Times New Roman" w:hint="default"/>
                <w:sz w:val="24"/>
                <w:szCs w:val="24"/>
              </w:rPr>
              <w:t>10</w:t>
            </w:r>
            <w:r>
              <w:rPr>
                <w:rFonts w:ascii="Times New Roman" w:hAnsi="Times New Roman" w:cs="Times New Roman" w:hint="default"/>
                <w:sz w:val="24"/>
                <w:szCs w:val="24"/>
              </w:rPr>
              <w:fldChar w:fldCharType="end"/>
            </w:r>
          </w:hyperlink>
        </w:p>
        <w:p>
          <w:pPr>
            <w:spacing w:line="480" w:lineRule="auto"/>
            <w:rPr>
              <w:rFonts w:ascii="Times New Roman" w:hAnsi="Times New Roman" w:cs="Times New Roman" w:hint="default"/>
              <w:sz w:val="24"/>
              <w:szCs w:val="24"/>
            </w:rPr>
          </w:pPr>
          <w:r>
            <w:rPr>
              <w:rFonts w:ascii="Times New Roman" w:hAnsi="Times New Roman" w:cs="Times New Roman" w:hint="default"/>
              <w:b/>
              <w:bCs/>
              <w:sz w:val="24"/>
              <w:szCs w:val="24"/>
            </w:rPr>
            <w:fldChar w:fldCharType="end"/>
          </w:r>
        </w:p>
      </w:sdtContent>
    </w:sdt>
    <w:p>
      <w:pPr>
        <w:spacing w:line="480" w:lineRule="auto"/>
        <w:rPr>
          <w:rFonts w:ascii="Times New Roman" w:hAnsi="Times New Roman" w:cs="Times New Roman" w:hint="default"/>
          <w:sz w:val="24"/>
          <w:szCs w:val="24"/>
        </w:rPr>
      </w:pPr>
    </w:p>
    <w:p>
      <w:pPr>
        <w:spacing w:line="480" w:lineRule="auto"/>
        <w:rPr>
          <w:rFonts w:ascii="Times New Roman" w:hAnsi="Times New Roman" w:eastAsiaTheme="majorEastAsia" w:cs="Times New Roman" w:hint="default"/>
          <w:color w:val="2F5597" w:themeColor="accent1" w:themeShade="BF"/>
          <w:sz w:val="24"/>
          <w:szCs w:val="24"/>
        </w:rPr>
      </w:pPr>
      <w:bookmarkStart w:id="0" w:name="_Toc120864771"/>
      <w:r>
        <w:rPr>
          <w:rFonts w:ascii="Times New Roman" w:hAnsi="Times New Roman" w:cs="Times New Roman" w:hint="default"/>
          <w:sz w:val="24"/>
          <w:szCs w:val="24"/>
        </w:rPr>
        <w:br w:type="page"/>
      </w:r>
    </w:p>
    <w:p>
      <w:pPr>
        <w:pStyle w:val="Heading1"/>
        <w:spacing w:line="480" w:lineRule="auto"/>
        <w:jc w:val="center"/>
        <w:rPr>
          <w:rFonts w:ascii="Times New Roman" w:hAnsi="Times New Roman" w:cs="Times New Roman" w:hint="default"/>
          <w:b/>
          <w:bCs/>
          <w:color w:val="auto"/>
          <w:sz w:val="24"/>
          <w:szCs w:val="24"/>
        </w:rPr>
      </w:pPr>
      <w:r>
        <w:rPr>
          <w:rFonts w:ascii="Times New Roman" w:hAnsi="Times New Roman" w:cs="Times New Roman" w:hint="default"/>
          <w:b/>
          <w:bCs/>
          <w:color w:val="auto"/>
          <w:sz w:val="24"/>
          <w:szCs w:val="24"/>
        </w:rPr>
        <w:t>CHAPTER ONE: INTRODUCTION</w:t>
      </w:r>
      <w:bookmarkEnd w:id="0"/>
    </w:p>
    <w:p>
      <w:pPr>
        <w:pStyle w:val="Heading2"/>
        <w:spacing w:line="480" w:lineRule="auto"/>
        <w:rPr>
          <w:rFonts w:ascii="Times New Roman" w:hAnsi="Times New Roman" w:cs="Times New Roman" w:hint="default"/>
          <w:b/>
          <w:bCs/>
          <w:color w:val="auto"/>
          <w:sz w:val="24"/>
          <w:szCs w:val="24"/>
        </w:rPr>
      </w:pPr>
      <w:bookmarkStart w:id="1" w:name="_Toc120864772"/>
      <w:r>
        <w:rPr>
          <w:rFonts w:ascii="Times New Roman" w:hAnsi="Times New Roman" w:cs="Times New Roman" w:hint="default"/>
          <w:b/>
          <w:bCs/>
          <w:color w:val="auto"/>
          <w:sz w:val="24"/>
          <w:szCs w:val="24"/>
        </w:rPr>
        <w:t>1.0 Introduction</w:t>
      </w:r>
      <w:bookmarkEnd w:id="1"/>
    </w:p>
    <w:p>
      <w:pPr>
        <w:spacing w:line="480" w:lineRule="auto"/>
        <w:ind w:firstLine="720"/>
        <w:rPr>
          <w:rFonts w:ascii="Times New Roman" w:hAnsi="Times New Roman" w:cs="Times New Roman" w:hint="default"/>
          <w:sz w:val="24"/>
          <w:szCs w:val="24"/>
        </w:rPr>
      </w:pPr>
      <w:r>
        <w:rPr>
          <w:rFonts w:ascii="Times New Roman" w:hAnsi="Times New Roman" w:cs="Times New Roman" w:hint="default"/>
          <w:sz w:val="24"/>
          <w:szCs w:val="24"/>
        </w:rPr>
        <w:t>Central banks have traditionally held influence over the money supply and interest rates. In many countries, central bank policy is used to achieve macroeconomic objectives such as inflation targeting or full employment. The European Central Bank (ECB) has recently started to explore the idea of issuing virtual currencies such as e-Euros to reduce their reliance on conventional monetary policy tools.  </w:t>
      </w:r>
    </w:p>
    <w:p>
      <w:pPr>
        <w:spacing w:line="480" w:lineRule="auto"/>
        <w:ind w:firstLine="720"/>
        <w:rPr>
          <w:rFonts w:ascii="Times New Roman" w:hAnsi="Times New Roman" w:cs="Times New Roman" w:hint="default"/>
          <w:sz w:val="24"/>
          <w:szCs w:val="24"/>
        </w:rPr>
      </w:pPr>
      <w:r>
        <w:rPr>
          <w:rFonts w:ascii="Times New Roman" w:hAnsi="Times New Roman" w:cs="Times New Roman" w:hint="default"/>
          <w:sz w:val="24"/>
          <w:szCs w:val="24"/>
        </w:rPr>
        <w:t>The present study aims to comprehensively analyze the monetary policy nexus in Europe and its implication on central banks' use of virtual currencies. The study is structured as follows: first, two economic models are explored; second, historical data on monetary policy will be analyzed from various regions within Europe; third, the central bank's balance sheet will be studied to determine how it can accommodate the creation of virtual currencies. This study concludes that the monetary policy nexus between central and commercial banks can easily be understood even if the ECB creates its virtual currency. By understanding the monetary policy nexus, we can know how it affects commercial banks' business model and what factors lead to the alterations in their performance. Moreover, it will help us better understand how central banks' use of virtual currencies may affect the stability of European monetary policy.</w:t>
      </w:r>
    </w:p>
    <w:p>
      <w:pPr>
        <w:pStyle w:val="Heading2"/>
        <w:bidi w:val="0"/>
        <w:spacing w:line="480" w:lineRule="auto"/>
        <w:rPr>
          <w:rFonts w:ascii="Times New Roman" w:hAnsi="Times New Roman" w:cs="Times New Roman" w:hint="default"/>
          <w:b/>
          <w:bCs/>
          <w:color w:val="auto"/>
          <w:sz w:val="24"/>
          <w:szCs w:val="24"/>
        </w:rPr>
      </w:pPr>
      <w:bookmarkStart w:id="2" w:name="_Toc120864773"/>
      <w:r>
        <w:rPr>
          <w:rFonts w:ascii="Times New Roman" w:hAnsi="Times New Roman" w:cs="Times New Roman" w:hint="default"/>
          <w:b/>
          <w:bCs/>
          <w:color w:val="auto"/>
          <w:sz w:val="24"/>
          <w:szCs w:val="24"/>
        </w:rPr>
        <w:t>1.1 Background Information</w:t>
      </w:r>
      <w:bookmarkEnd w:id="2"/>
    </w:p>
    <w:p>
      <w:pPr>
        <w:spacing w:line="480" w:lineRule="auto"/>
        <w:ind w:firstLine="720"/>
        <w:rPr>
          <w:rFonts w:ascii="Times New Roman" w:hAnsi="Times New Roman" w:cs="Times New Roman" w:hint="default"/>
          <w:sz w:val="24"/>
          <w:szCs w:val="24"/>
        </w:rPr>
      </w:pPr>
      <w:r>
        <w:rPr>
          <w:rFonts w:ascii="Times New Roman" w:hAnsi="Times New Roman" w:cs="Times New Roman" w:hint="default"/>
          <w:sz w:val="24"/>
          <w:szCs w:val="24"/>
        </w:rPr>
        <w:t>A Central Bank is the most potent independent monetary regulator in a country. In the United States, for example, the Federal Reserve System plays a vital role in monitoring financial market conditions and issuing a monetary policy to meet the country's macroeconomic objectives (Grifolli et al., 2018). A central bank is often seen as a highly technical organization with little interaction with other institutions in the financial industry, such as commercial banks or credit rating agencies. However, central banks are usually not isolated institutions with no influence over commercial banks. A central bank's monetary policies are often used to regulate commercial banks.</w:t>
      </w:r>
    </w:p>
    <w:p>
      <w:pPr>
        <w:spacing w:line="480" w:lineRule="auto"/>
        <w:ind w:firstLine="720"/>
        <w:rPr>
          <w:rFonts w:ascii="Times New Roman" w:hAnsi="Times New Roman" w:cs="Times New Roman" w:hint="default"/>
          <w:sz w:val="24"/>
          <w:szCs w:val="24"/>
        </w:rPr>
      </w:pPr>
      <w:r>
        <w:rPr>
          <w:rFonts w:ascii="Times New Roman" w:hAnsi="Times New Roman" w:cs="Times New Roman" w:hint="default"/>
          <w:sz w:val="24"/>
          <w:szCs w:val="24"/>
        </w:rPr>
        <w:t>Central banks' influence on commercial banks is often seen in the business models of these two institutions. Banks have traditionally borrowed money from their depositors and lent it to their borrowers. A bank's business model is very profitable because it has to pay only a little interest on the deposits while receiving much more interest from its borrowers (Meaning et al., 2018). However, banks' influence on central banks can also be seen in the interest rate, which is one of the most critical policies to control the money supply. Central banks can stimulate economic growth or slow inflation by setting an appropriate interest rate.</w:t>
      </w:r>
    </w:p>
    <w:p>
      <w:pPr>
        <w:pStyle w:val="Heading2"/>
        <w:spacing w:line="480" w:lineRule="auto"/>
        <w:rPr>
          <w:rFonts w:ascii="Times New Roman" w:hAnsi="Times New Roman" w:cs="Times New Roman" w:hint="default"/>
          <w:b/>
          <w:bCs/>
          <w:color w:val="auto"/>
          <w:sz w:val="24"/>
          <w:szCs w:val="24"/>
        </w:rPr>
      </w:pPr>
      <w:bookmarkStart w:id="3" w:name="_Toc120864774"/>
      <w:r>
        <w:rPr>
          <w:rFonts w:ascii="Times New Roman" w:hAnsi="Times New Roman" w:cs="Times New Roman" w:hint="default"/>
          <w:b/>
          <w:bCs/>
          <w:color w:val="auto"/>
          <w:sz w:val="24"/>
          <w:szCs w:val="24"/>
        </w:rPr>
        <w:t>1.3 Research Objectives</w:t>
      </w:r>
      <w:bookmarkEnd w:id="3"/>
    </w:p>
    <w:p>
      <w:pPr>
        <w:spacing w:line="480" w:lineRule="auto"/>
        <w:rPr>
          <w:rFonts w:ascii="Times New Roman" w:hAnsi="Times New Roman" w:cs="Times New Roman" w:hint="default"/>
          <w:sz w:val="24"/>
          <w:szCs w:val="24"/>
        </w:rPr>
      </w:pPr>
      <w:r>
        <w:rPr>
          <w:rFonts w:ascii="Times New Roman" w:hAnsi="Times New Roman" w:cs="Times New Roman" w:hint="default"/>
          <w:sz w:val="24"/>
          <w:szCs w:val="24"/>
        </w:rPr>
        <w:t>1. Determine the importance of the monetary policy nexus, banking system activities, and interest rates in all European developed and developing countries.</w:t>
      </w:r>
    </w:p>
    <w:p>
      <w:pPr>
        <w:spacing w:line="480" w:lineRule="auto"/>
        <w:rPr>
          <w:rFonts w:ascii="Times New Roman" w:hAnsi="Times New Roman" w:cs="Times New Roman" w:hint="default"/>
          <w:sz w:val="24"/>
          <w:szCs w:val="24"/>
        </w:rPr>
      </w:pPr>
      <w:r>
        <w:rPr>
          <w:rFonts w:ascii="Times New Roman" w:hAnsi="Times New Roman" w:cs="Times New Roman" w:hint="default"/>
          <w:sz w:val="24"/>
          <w:szCs w:val="24"/>
        </w:rPr>
        <w:t>2. Evaluate the relative importance of monetary policy actions on commercial banks' business model and performance.</w:t>
      </w:r>
    </w:p>
    <w:p>
      <w:pPr>
        <w:spacing w:line="480" w:lineRule="auto"/>
        <w:rPr>
          <w:rFonts w:ascii="Times New Roman" w:hAnsi="Times New Roman" w:cs="Times New Roman" w:hint="default"/>
          <w:sz w:val="24"/>
          <w:szCs w:val="24"/>
        </w:rPr>
      </w:pPr>
      <w:r>
        <w:rPr>
          <w:rFonts w:ascii="Times New Roman" w:hAnsi="Times New Roman" w:cs="Times New Roman" w:hint="default"/>
          <w:sz w:val="24"/>
          <w:szCs w:val="24"/>
        </w:rPr>
        <w:t>3. Measure the extent to which central banks' monetary policy decisions affect commercial banks.</w:t>
      </w:r>
    </w:p>
    <w:p>
      <w:pPr>
        <w:spacing w:line="480" w:lineRule="auto"/>
        <w:rPr>
          <w:rFonts w:ascii="Times New Roman" w:hAnsi="Times New Roman" w:cs="Times New Roman" w:hint="default"/>
          <w:sz w:val="24"/>
          <w:szCs w:val="24"/>
        </w:rPr>
      </w:pPr>
      <w:r>
        <w:rPr>
          <w:rFonts w:ascii="Times New Roman" w:hAnsi="Times New Roman" w:cs="Times New Roman" w:hint="default"/>
          <w:sz w:val="24"/>
          <w:szCs w:val="24"/>
        </w:rPr>
        <w:t>4. Determine the influence central banks have over commercial banks.</w:t>
      </w:r>
    </w:p>
    <w:p>
      <w:pPr>
        <w:pStyle w:val="Heading2"/>
        <w:spacing w:line="480" w:lineRule="auto"/>
        <w:rPr>
          <w:rFonts w:ascii="Times New Roman" w:hAnsi="Times New Roman" w:cs="Times New Roman" w:hint="default"/>
          <w:b/>
          <w:bCs/>
          <w:color w:val="auto"/>
          <w:sz w:val="24"/>
          <w:szCs w:val="24"/>
        </w:rPr>
      </w:pPr>
      <w:bookmarkStart w:id="4" w:name="_Toc120864775"/>
      <w:r>
        <w:rPr>
          <w:rFonts w:ascii="Times New Roman" w:hAnsi="Times New Roman" w:cs="Times New Roman" w:hint="default"/>
          <w:b/>
          <w:bCs/>
          <w:color w:val="auto"/>
          <w:sz w:val="24"/>
          <w:szCs w:val="24"/>
        </w:rPr>
        <w:t>1.4 Research Aims</w:t>
      </w:r>
      <w:bookmarkEnd w:id="4"/>
    </w:p>
    <w:p>
      <w:pPr>
        <w:spacing w:line="480" w:lineRule="auto"/>
        <w:rPr>
          <w:rFonts w:ascii="Times New Roman" w:hAnsi="Times New Roman" w:cs="Times New Roman" w:hint="default"/>
          <w:sz w:val="24"/>
          <w:szCs w:val="24"/>
        </w:rPr>
      </w:pPr>
      <w:r>
        <w:rPr>
          <w:rFonts w:ascii="Times New Roman" w:hAnsi="Times New Roman" w:cs="Times New Roman" w:hint="default"/>
          <w:sz w:val="24"/>
          <w:szCs w:val="24"/>
        </w:rPr>
        <w:t xml:space="preserve">This study aims to answer the following questions: </w:t>
      </w:r>
    </w:p>
    <w:p>
      <w:pPr>
        <w:spacing w:line="480" w:lineRule="auto"/>
        <w:rPr>
          <w:rFonts w:ascii="Times New Roman" w:hAnsi="Times New Roman" w:cs="Times New Roman" w:hint="default"/>
          <w:sz w:val="24"/>
          <w:szCs w:val="24"/>
        </w:rPr>
      </w:pPr>
      <w:r>
        <w:rPr>
          <w:rFonts w:ascii="Times New Roman" w:hAnsi="Times New Roman" w:cs="Times New Roman" w:hint="default"/>
          <w:sz w:val="24"/>
          <w:szCs w:val="24"/>
        </w:rPr>
        <w:t xml:space="preserve">1. Are European central banks using monetary policy to influence commercial banks? </w:t>
      </w:r>
    </w:p>
    <w:p>
      <w:pPr>
        <w:spacing w:line="480" w:lineRule="auto"/>
        <w:rPr>
          <w:rFonts w:ascii="Times New Roman" w:hAnsi="Times New Roman" w:cs="Times New Roman" w:hint="default"/>
          <w:sz w:val="24"/>
          <w:szCs w:val="24"/>
        </w:rPr>
      </w:pPr>
      <w:r>
        <w:rPr>
          <w:rFonts w:ascii="Times New Roman" w:hAnsi="Times New Roman" w:cs="Times New Roman" w:hint="default"/>
          <w:sz w:val="24"/>
          <w:szCs w:val="24"/>
        </w:rPr>
        <w:t xml:space="preserve">2. Is the ECB's virtual currency an excellent method to control monetary policy? </w:t>
      </w:r>
    </w:p>
    <w:p>
      <w:pPr>
        <w:spacing w:line="480" w:lineRule="auto"/>
        <w:rPr>
          <w:rFonts w:ascii="Times New Roman" w:hAnsi="Times New Roman" w:cs="Times New Roman" w:hint="default"/>
          <w:sz w:val="24"/>
          <w:szCs w:val="24"/>
        </w:rPr>
      </w:pPr>
      <w:r>
        <w:rPr>
          <w:rFonts w:ascii="Times New Roman" w:hAnsi="Times New Roman" w:cs="Times New Roman" w:hint="default"/>
          <w:sz w:val="24"/>
          <w:szCs w:val="24"/>
        </w:rPr>
        <w:t>3. What factors affect banks' performance and business model?</w:t>
      </w:r>
    </w:p>
    <w:p>
      <w:pPr>
        <w:spacing w:line="480" w:lineRule="auto"/>
        <w:rPr>
          <w:rFonts w:ascii="Times New Roman" w:hAnsi="Times New Roman" w:cs="Times New Roman" w:hint="default"/>
          <w:sz w:val="24"/>
          <w:szCs w:val="24"/>
        </w:rPr>
      </w:pPr>
      <w:r>
        <w:rPr>
          <w:rFonts w:ascii="Times New Roman" w:hAnsi="Times New Roman" w:cs="Times New Roman" w:hint="default"/>
          <w:sz w:val="24"/>
          <w:szCs w:val="24"/>
        </w:rPr>
        <w:t>4. What are the critical areas of control for central banks to influence commercial banks?</w:t>
      </w:r>
    </w:p>
    <w:p>
      <w:pPr>
        <w:pStyle w:val="Heading2"/>
        <w:spacing w:line="480" w:lineRule="auto"/>
        <w:rPr>
          <w:rFonts w:ascii="Times New Roman" w:hAnsi="Times New Roman" w:cs="Times New Roman" w:hint="default"/>
          <w:b/>
          <w:bCs/>
          <w:color w:val="auto"/>
          <w:sz w:val="24"/>
          <w:szCs w:val="24"/>
        </w:rPr>
      </w:pPr>
      <w:bookmarkStart w:id="5" w:name="_Toc120864776"/>
      <w:r>
        <w:rPr>
          <w:rFonts w:ascii="Times New Roman" w:hAnsi="Times New Roman" w:cs="Times New Roman" w:hint="default"/>
          <w:b/>
          <w:bCs/>
          <w:color w:val="auto"/>
          <w:sz w:val="24"/>
          <w:szCs w:val="24"/>
        </w:rPr>
        <w:t>1.5 Research Questions</w:t>
      </w:r>
      <w:bookmarkEnd w:id="5"/>
    </w:p>
    <w:p>
      <w:pPr>
        <w:spacing w:line="480" w:lineRule="auto"/>
        <w:rPr>
          <w:rFonts w:ascii="Times New Roman" w:hAnsi="Times New Roman" w:cs="Times New Roman" w:hint="default"/>
          <w:sz w:val="24"/>
          <w:szCs w:val="24"/>
        </w:rPr>
      </w:pPr>
      <w:r>
        <w:rPr>
          <w:rFonts w:ascii="Times New Roman" w:hAnsi="Times New Roman" w:cs="Times New Roman" w:hint="default"/>
          <w:sz w:val="24"/>
          <w:szCs w:val="24"/>
        </w:rPr>
        <w:t xml:space="preserve">1. Is the monetary policy nexus in Europe strong enough to incorporate virtual currencies? </w:t>
      </w:r>
    </w:p>
    <w:p>
      <w:pPr>
        <w:spacing w:line="480" w:lineRule="auto"/>
        <w:rPr>
          <w:rFonts w:ascii="Times New Roman" w:hAnsi="Times New Roman" w:cs="Times New Roman" w:hint="default"/>
          <w:sz w:val="24"/>
          <w:szCs w:val="24"/>
        </w:rPr>
      </w:pPr>
      <w:r>
        <w:rPr>
          <w:rFonts w:ascii="Times New Roman" w:hAnsi="Times New Roman" w:cs="Times New Roman" w:hint="default"/>
          <w:sz w:val="24"/>
          <w:szCs w:val="24"/>
        </w:rPr>
        <w:t xml:space="preserve">2. What factors affect the monetary policy decisions of European central banks? </w:t>
      </w:r>
    </w:p>
    <w:p>
      <w:pPr>
        <w:spacing w:line="480" w:lineRule="auto"/>
        <w:rPr>
          <w:rFonts w:ascii="Times New Roman" w:hAnsi="Times New Roman" w:cs="Times New Roman" w:hint="default"/>
          <w:sz w:val="24"/>
          <w:szCs w:val="24"/>
        </w:rPr>
      </w:pPr>
      <w:r>
        <w:rPr>
          <w:rFonts w:ascii="Times New Roman" w:hAnsi="Times New Roman" w:cs="Times New Roman" w:hint="default"/>
          <w:sz w:val="24"/>
          <w:szCs w:val="24"/>
        </w:rPr>
        <w:t xml:space="preserve">3. Are the ECB's interest rates similar to the market ones? </w:t>
      </w:r>
    </w:p>
    <w:p>
      <w:pPr>
        <w:pStyle w:val="Heading2"/>
        <w:spacing w:line="480" w:lineRule="auto"/>
        <w:rPr>
          <w:rFonts w:ascii="Times New Roman" w:hAnsi="Times New Roman" w:cs="Times New Roman" w:hint="default"/>
          <w:b/>
          <w:bCs/>
          <w:color w:val="auto"/>
          <w:sz w:val="24"/>
          <w:szCs w:val="24"/>
        </w:rPr>
      </w:pPr>
      <w:bookmarkStart w:id="6" w:name="_Toc120864777"/>
      <w:r>
        <w:rPr>
          <w:rFonts w:ascii="Times New Roman" w:hAnsi="Times New Roman" w:cs="Times New Roman" w:hint="default"/>
          <w:b/>
          <w:bCs/>
          <w:color w:val="auto"/>
          <w:sz w:val="24"/>
          <w:szCs w:val="24"/>
        </w:rPr>
        <w:t>1.6 Significance of the study</w:t>
      </w:r>
      <w:bookmarkEnd w:id="6"/>
    </w:p>
    <w:p>
      <w:pPr>
        <w:spacing w:line="480" w:lineRule="auto"/>
        <w:ind w:firstLine="720"/>
        <w:rPr>
          <w:rFonts w:ascii="Times New Roman" w:hAnsi="Times New Roman" w:cs="Times New Roman" w:hint="default"/>
          <w:sz w:val="24"/>
          <w:szCs w:val="24"/>
        </w:rPr>
      </w:pPr>
      <w:r>
        <w:rPr>
          <w:rFonts w:ascii="Times New Roman" w:hAnsi="Times New Roman" w:cs="Times New Roman" w:hint="default"/>
          <w:sz w:val="24"/>
          <w:szCs w:val="24"/>
        </w:rPr>
        <w:t>This study will help financial institutions and regulatory authorities better understand the monetary policy nexus in Europe. It will provide valuable recommendations related to the performance of European commercial banks. Through this study, we can understand why central banks' monetary policy differs from commercial banks and what factors affect both decisions (Grifolli et al., 2018). The ultimate goal is to control European countries' economic and financial policies.</w:t>
      </w:r>
    </w:p>
    <w:p>
      <w:pPr>
        <w:spacing w:line="480" w:lineRule="auto"/>
        <w:rPr>
          <w:rFonts w:ascii="Times New Roman" w:hAnsi="Times New Roman" w:cs="Times New Roman" w:hint="default"/>
          <w:sz w:val="24"/>
          <w:szCs w:val="24"/>
        </w:rPr>
      </w:pPr>
      <w:bookmarkStart w:id="7" w:name="_Toc120864779"/>
      <w:r>
        <w:rPr>
          <w:rFonts w:ascii="Times New Roman" w:hAnsi="Times New Roman" w:cs="Times New Roman" w:hint="default"/>
          <w:sz w:val="24"/>
          <w:szCs w:val="24"/>
        </w:rPr>
        <w:br w:type="page"/>
      </w:r>
    </w:p>
    <w:p>
      <w:pPr>
        <w:pStyle w:val="Heading1"/>
        <w:spacing w:line="480" w:lineRule="auto"/>
        <w:jc w:val="center"/>
        <w:rPr>
          <w:rFonts w:ascii="Times New Roman" w:hAnsi="Times New Roman" w:cs="Times New Roman" w:hint="default"/>
          <w:b/>
          <w:bCs/>
          <w:color w:val="auto"/>
          <w:sz w:val="24"/>
          <w:szCs w:val="24"/>
        </w:rPr>
      </w:pPr>
      <w:r>
        <w:rPr>
          <w:rFonts w:ascii="Times New Roman" w:hAnsi="Times New Roman" w:cs="Times New Roman" w:hint="default"/>
          <w:b/>
          <w:bCs/>
          <w:color w:val="auto"/>
          <w:sz w:val="24"/>
          <w:szCs w:val="24"/>
        </w:rPr>
        <w:t>CHAPTER TWO: LITERATURE REVIEW</w:t>
      </w:r>
      <w:bookmarkEnd w:id="7"/>
    </w:p>
    <w:p>
      <w:pPr>
        <w:pStyle w:val="Heading2"/>
        <w:spacing w:line="480" w:lineRule="auto"/>
        <w:rPr>
          <w:rFonts w:ascii="Times New Roman" w:hAnsi="Times New Roman" w:cs="Times New Roman" w:hint="default"/>
          <w:b/>
          <w:bCs/>
          <w:color w:val="auto"/>
          <w:sz w:val="24"/>
          <w:szCs w:val="24"/>
        </w:rPr>
      </w:pPr>
      <w:bookmarkStart w:id="8" w:name="_Toc120864780"/>
      <w:r>
        <w:rPr>
          <w:rFonts w:ascii="Times New Roman" w:hAnsi="Times New Roman" w:cs="Times New Roman" w:hint="default"/>
          <w:b/>
          <w:bCs/>
          <w:color w:val="auto"/>
          <w:sz w:val="24"/>
          <w:szCs w:val="24"/>
        </w:rPr>
        <w:t>2.0 Overview</w:t>
      </w:r>
      <w:bookmarkEnd w:id="8"/>
    </w:p>
    <w:p>
      <w:pPr>
        <w:spacing w:line="480" w:lineRule="auto"/>
        <w:ind w:firstLine="720"/>
        <w:rPr>
          <w:rFonts w:ascii="Times New Roman" w:hAnsi="Times New Roman" w:cs="Times New Roman" w:hint="default"/>
          <w:sz w:val="24"/>
          <w:szCs w:val="24"/>
        </w:rPr>
      </w:pPr>
      <w:r>
        <w:rPr>
          <w:rFonts w:ascii="Times New Roman" w:hAnsi="Times New Roman" w:cs="Times New Roman" w:hint="default"/>
          <w:sz w:val="24"/>
          <w:szCs w:val="24"/>
        </w:rPr>
        <w:t>The research project aims to evaluate the European monetary policy nexus between central and commercial banks. The monetary policy nexus is a factor that affects the central bank's decisions and, consequently, commercial banks' performance. The objective of this study is to evaluate the monetary policy nexus in Europe, especially in the European Union, which contains more than one central bank. This project aims to analyze how European countries perform in terms of economy and how central banks deal with commercial banks.</w:t>
      </w:r>
    </w:p>
    <w:p>
      <w:pPr>
        <w:spacing w:line="480" w:lineRule="auto"/>
        <w:ind w:firstLine="720"/>
        <w:rPr>
          <w:rFonts w:ascii="Times New Roman" w:hAnsi="Times New Roman" w:cs="Times New Roman" w:hint="default"/>
          <w:sz w:val="24"/>
          <w:szCs w:val="24"/>
        </w:rPr>
      </w:pPr>
      <w:r>
        <w:rPr>
          <w:rFonts w:ascii="Times New Roman" w:hAnsi="Times New Roman" w:cs="Times New Roman" w:hint="default"/>
          <w:sz w:val="24"/>
          <w:szCs w:val="24"/>
        </w:rPr>
        <w:t>Iorember et al., 2022 discussed the monetary policy nexus in the financial systems of Europe. Initially, it explored central banks' role, including those in different countries. The study explained that central banks were not isolated institutions in the financial sector and contributed to addressing commercial banks' interest rates. It also said central banks could stimulate growth or slow inflation by setting an appropriate interest rate 9Iorember et al., 2022). The authors defined the monetary policy nexus in different countries and evaluated the central bank's role in the financial sector. They also discussed the characteristics of the monetary policy nexus in other countries. While the US has a robust economic policy nexus, the EU countries have weaker nexus</w:t>
      </w:r>
      <w:r>
        <w:rPr>
          <w:rFonts w:ascii="Times New Roman" w:hAnsi="Times New Roman" w:cs="Times New Roman" w:hint="default"/>
          <w:color w:val="222222"/>
          <w:sz w:val="24"/>
          <w:szCs w:val="24"/>
          <w:shd w:val="clear" w:color="auto" w:fill="FFFFFF"/>
        </w:rPr>
        <w:t xml:space="preserve"> (Doğan</w:t>
      </w:r>
      <w:r>
        <w:rPr>
          <w:rFonts w:ascii="Times New Roman" w:hAnsi="Times New Roman" w:cs="Times New Roman" w:hint="default"/>
          <w:sz w:val="24"/>
          <w:szCs w:val="24"/>
        </w:rPr>
        <w:t xml:space="preserve">, </w:t>
      </w:r>
      <w:r>
        <w:rPr>
          <w:rFonts w:ascii="Times New Roman" w:hAnsi="Times New Roman" w:cs="Times New Roman" w:hint="default"/>
          <w:color w:val="222222"/>
          <w:sz w:val="24"/>
          <w:szCs w:val="24"/>
          <w:shd w:val="clear" w:color="auto" w:fill="FFFFFF"/>
        </w:rPr>
        <w:t>2020)</w:t>
      </w:r>
      <w:r>
        <w:rPr>
          <w:rFonts w:ascii="Times New Roman" w:hAnsi="Times New Roman" w:cs="Times New Roman" w:hint="default"/>
          <w:sz w:val="24"/>
          <w:szCs w:val="24"/>
        </w:rPr>
        <w:t>. The study also discussed monetary policy changes in different countries and how they affect the performance of financial institutions.</w:t>
      </w:r>
    </w:p>
    <w:p>
      <w:pPr>
        <w:spacing w:line="480" w:lineRule="auto"/>
        <w:ind w:firstLine="720"/>
        <w:rPr>
          <w:rFonts w:ascii="Times New Roman" w:hAnsi="Times New Roman" w:cs="Times New Roman" w:hint="default"/>
          <w:sz w:val="24"/>
          <w:szCs w:val="24"/>
        </w:rPr>
      </w:pPr>
      <w:r>
        <w:rPr>
          <w:rFonts w:ascii="Times New Roman" w:hAnsi="Times New Roman" w:cs="Times New Roman" w:hint="default"/>
          <w:sz w:val="24"/>
          <w:szCs w:val="24"/>
        </w:rPr>
        <w:t>Meaning et al., 2018 discussed the relationship between monetary policy and commercial banks. They argued that combining economic policies could increase effective demand for commercial bank loans, leading to a more robust economy (</w:t>
      </w:r>
      <w:r>
        <w:rPr>
          <w:rFonts w:ascii="Times New Roman" w:hAnsi="Times New Roman" w:cs="Times New Roman" w:hint="default"/>
          <w:color w:val="222222"/>
          <w:sz w:val="24"/>
          <w:szCs w:val="24"/>
          <w:shd w:val="clear" w:color="auto" w:fill="FFFFFF"/>
        </w:rPr>
        <w:t>Balling et al., 2019</w:t>
      </w:r>
      <w:r>
        <w:rPr>
          <w:rFonts w:ascii="Times New Roman" w:hAnsi="Times New Roman" w:cs="Times New Roman" w:hint="default"/>
          <w:sz w:val="24"/>
          <w:szCs w:val="24"/>
        </w:rPr>
        <w:t>)</w:t>
      </w:r>
      <w:r>
        <w:rPr>
          <w:rFonts w:ascii="Times New Roman" w:hAnsi="Times New Roman" w:cs="Times New Roman" w:hint="default"/>
          <w:sz w:val="24"/>
          <w:szCs w:val="24"/>
        </w:rPr>
        <w:t>. The paper also explained that commercial banks were crucial in the monetary policy nexus of central banks. Furthermore, the study evaluated how different economic policies, such as quantitative easing, affect commercial banks' performance. Meaning et al., 2018 also discussed the significance of virtual currency. They argued that central banks could use a virtual currency to set an appropriate interest rate, stimulating economic growth and closing the output gap.</w:t>
      </w:r>
    </w:p>
    <w:p>
      <w:pPr>
        <w:spacing w:line="480" w:lineRule="auto"/>
        <w:ind w:firstLine="720"/>
        <w:rPr>
          <w:rFonts w:ascii="Times New Roman" w:hAnsi="Times New Roman" w:cs="Times New Roman" w:hint="default"/>
          <w:sz w:val="24"/>
          <w:szCs w:val="24"/>
        </w:rPr>
      </w:pPr>
      <w:r>
        <w:rPr>
          <w:rFonts w:ascii="Times New Roman" w:hAnsi="Times New Roman" w:cs="Times New Roman" w:hint="default"/>
          <w:sz w:val="24"/>
          <w:szCs w:val="24"/>
        </w:rPr>
        <w:t>Belke &amp;Beretta 2020 on digitizing currency, discussed the relationship between monetary policy and commercial banks. The study explained that central banks were not isolated institutions in the financial sector but significantly impacted commercial banks' business models and performance. They also discussed the negative effect of commercial banks' business models on economic growth. Belke &amp;Beretta, 2020 also discussed the benefits of digitizing money and its relationship to monetary policy (Iorember et al., 2022). Furthermore, they informed readers about virtual currency and its impact on monetary policy. The study also explained how digital currency could benefit central banks' monetary policy, especially in developing countries with weak financial sectors. The study also provided recommendations for financial institutions on how to be more inclusive and inclusive of the customer.</w:t>
      </w:r>
    </w:p>
    <w:p>
      <w:pPr>
        <w:spacing w:line="480" w:lineRule="auto"/>
        <w:ind w:firstLine="720"/>
        <w:rPr>
          <w:rFonts w:ascii="Times New Roman" w:hAnsi="Times New Roman" w:cs="Times New Roman" w:hint="default"/>
          <w:sz w:val="24"/>
          <w:szCs w:val="24"/>
        </w:rPr>
      </w:pPr>
      <w:r>
        <w:rPr>
          <w:rFonts w:ascii="Times New Roman" w:hAnsi="Times New Roman" w:cs="Times New Roman" w:hint="default"/>
          <w:sz w:val="24"/>
          <w:szCs w:val="24"/>
        </w:rPr>
        <w:t>Grifolli et al., 2018 discussed the impact of digitizing money on monetary policy, especially in developing countries. The study also evaluated how central banks could conduct monetary policy using a digital currency. In addition, they explained how different digital currency structures differed and provided recommendations for financial regulators and central banks moving forward in implementing a digital currency.</w:t>
      </w:r>
    </w:p>
    <w:p>
      <w:pPr>
        <w:spacing w:line="480" w:lineRule="auto"/>
        <w:rPr>
          <w:rFonts w:ascii="Times New Roman" w:hAnsi="Times New Roman" w:cs="Times New Roman" w:hint="default"/>
          <w:sz w:val="24"/>
          <w:szCs w:val="24"/>
        </w:rPr>
      </w:pPr>
      <w:r>
        <w:rPr>
          <w:rFonts w:ascii="Times New Roman" w:hAnsi="Times New Roman" w:cs="Times New Roman" w:hint="default"/>
          <w:sz w:val="24"/>
          <w:szCs w:val="24"/>
        </w:rPr>
        <w:br w:type="page"/>
      </w:r>
    </w:p>
    <w:p>
      <w:pPr>
        <w:pStyle w:val="Heading1"/>
        <w:bidi w:val="0"/>
        <w:spacing w:line="480" w:lineRule="auto"/>
        <w:jc w:val="center"/>
        <w:rPr>
          <w:rFonts w:ascii="Times New Roman" w:hAnsi="Times New Roman" w:cs="Times New Roman" w:hint="default"/>
          <w:b/>
          <w:bCs/>
          <w:color w:val="auto"/>
          <w:sz w:val="24"/>
          <w:szCs w:val="24"/>
        </w:rPr>
      </w:pPr>
      <w:bookmarkStart w:id="9" w:name="_Toc120864781"/>
      <w:r>
        <w:rPr>
          <w:rFonts w:ascii="Times New Roman" w:hAnsi="Times New Roman" w:cs="Times New Roman" w:hint="default"/>
          <w:b/>
          <w:bCs/>
          <w:color w:val="auto"/>
          <w:sz w:val="24"/>
          <w:szCs w:val="24"/>
        </w:rPr>
        <w:t>CHAPTER THREE: RESEARCH METHODOLOGY</w:t>
      </w:r>
      <w:bookmarkEnd w:id="9"/>
    </w:p>
    <w:p>
      <w:pPr>
        <w:spacing w:line="480" w:lineRule="auto"/>
        <w:ind w:firstLine="720"/>
        <w:rPr>
          <w:rFonts w:ascii="Times New Roman" w:hAnsi="Times New Roman" w:cs="Times New Roman" w:hint="default"/>
          <w:sz w:val="24"/>
          <w:szCs w:val="24"/>
        </w:rPr>
      </w:pPr>
      <w:r>
        <w:rPr>
          <w:rFonts w:ascii="Times New Roman" w:hAnsi="Times New Roman" w:cs="Times New Roman" w:hint="default"/>
          <w:sz w:val="24"/>
          <w:szCs w:val="24"/>
        </w:rPr>
        <w:t>This section will briefly describe the method of study used in this research. This research project is conducted using secondary data. The secondary data is from commercial banks, central banks, and regulatory authorities throughout the European Union (</w:t>
      </w:r>
      <w:r>
        <w:rPr>
          <w:rFonts w:ascii="Times New Roman" w:hAnsi="Times New Roman" w:cs="Times New Roman" w:hint="default"/>
          <w:color w:val="222222"/>
          <w:sz w:val="24"/>
          <w:szCs w:val="24"/>
          <w:shd w:val="clear" w:color="auto" w:fill="FFFFFF"/>
        </w:rPr>
        <w:t>Auer</w:t>
      </w:r>
      <w:r>
        <w:rPr>
          <w:rFonts w:ascii="Times New Roman" w:hAnsi="Times New Roman" w:cs="Times New Roman" w:hint="default"/>
          <w:sz w:val="24"/>
          <w:szCs w:val="24"/>
        </w:rPr>
        <w:t xml:space="preserve"> et al., </w:t>
      </w:r>
      <w:r>
        <w:rPr>
          <w:rFonts w:ascii="Times New Roman" w:hAnsi="Times New Roman" w:cs="Times New Roman" w:hint="default"/>
          <w:color w:val="222222"/>
          <w:sz w:val="24"/>
          <w:szCs w:val="24"/>
          <w:shd w:val="clear" w:color="auto" w:fill="FFFFFF"/>
        </w:rPr>
        <w:t>2022</w:t>
      </w:r>
      <w:r>
        <w:rPr>
          <w:rFonts w:ascii="Times New Roman" w:hAnsi="Times New Roman" w:cs="Times New Roman" w:hint="default"/>
          <w:sz w:val="24"/>
          <w:szCs w:val="24"/>
        </w:rPr>
        <w:t>)</w:t>
      </w:r>
      <w:r>
        <w:rPr>
          <w:rFonts w:ascii="Times New Roman" w:hAnsi="Times New Roman" w:cs="Times New Roman" w:hint="default"/>
          <w:sz w:val="24"/>
          <w:szCs w:val="24"/>
        </w:rPr>
        <w:t>. Analysis of this data provides valuable recommendations related to the European monetary policy nexus of central banks.</w:t>
      </w:r>
    </w:p>
    <w:p>
      <w:pPr>
        <w:pStyle w:val="Heading2"/>
        <w:spacing w:line="480" w:lineRule="auto"/>
        <w:rPr>
          <w:rFonts w:ascii="Times New Roman" w:hAnsi="Times New Roman" w:cs="Times New Roman" w:hint="default"/>
          <w:b/>
          <w:bCs/>
          <w:color w:val="auto"/>
          <w:sz w:val="24"/>
          <w:szCs w:val="24"/>
        </w:rPr>
      </w:pPr>
      <w:bookmarkStart w:id="10" w:name="_Toc120864782"/>
      <w:r>
        <w:rPr>
          <w:rFonts w:ascii="Times New Roman" w:hAnsi="Times New Roman" w:cs="Times New Roman" w:hint="default"/>
          <w:b/>
          <w:bCs/>
          <w:color w:val="auto"/>
          <w:sz w:val="24"/>
          <w:szCs w:val="24"/>
        </w:rPr>
        <w:t>3.1 Research Approach</w:t>
      </w:r>
      <w:bookmarkEnd w:id="10"/>
    </w:p>
    <w:p>
      <w:pPr>
        <w:spacing w:line="480" w:lineRule="auto"/>
        <w:ind w:firstLine="720"/>
        <w:rPr>
          <w:rFonts w:ascii="Times New Roman" w:hAnsi="Times New Roman" w:cs="Times New Roman" w:hint="default"/>
          <w:sz w:val="24"/>
          <w:szCs w:val="24"/>
        </w:rPr>
      </w:pPr>
      <w:r>
        <w:rPr>
          <w:rFonts w:ascii="Times New Roman" w:hAnsi="Times New Roman" w:cs="Times New Roman" w:hint="default"/>
          <w:sz w:val="24"/>
          <w:szCs w:val="24"/>
        </w:rPr>
        <w:t>This project will explore the European monetary policy nexus of central banks. The research approach for this study is a qualitative data analysis of commercial banks, central banks, and regulatory authorities throughout the EU. The data will be analyzed to evaluate the monetary policy nexus in different countries and its relationship with commercial banks' performance. The evaluation will conclude with recommendations for central banks about how to run their financial sectors.</w:t>
      </w:r>
    </w:p>
    <w:p>
      <w:pPr>
        <w:pStyle w:val="Heading2"/>
        <w:spacing w:line="480" w:lineRule="auto"/>
        <w:rPr>
          <w:rFonts w:ascii="Times New Roman" w:hAnsi="Times New Roman" w:cs="Times New Roman" w:hint="default"/>
          <w:b/>
          <w:bCs/>
          <w:color w:val="auto"/>
          <w:sz w:val="24"/>
          <w:szCs w:val="24"/>
        </w:rPr>
      </w:pPr>
      <w:bookmarkStart w:id="11" w:name="_Toc120864783"/>
      <w:r>
        <w:rPr>
          <w:rFonts w:ascii="Times New Roman" w:hAnsi="Times New Roman" w:cs="Times New Roman" w:hint="default"/>
          <w:b/>
          <w:bCs/>
          <w:color w:val="auto"/>
          <w:sz w:val="24"/>
          <w:szCs w:val="24"/>
        </w:rPr>
        <w:t>3.2 Research Strategy</w:t>
      </w:r>
      <w:bookmarkEnd w:id="11"/>
    </w:p>
    <w:p>
      <w:pPr>
        <w:spacing w:line="480" w:lineRule="auto"/>
        <w:ind w:firstLine="720"/>
        <w:rPr>
          <w:rFonts w:ascii="Times New Roman" w:hAnsi="Times New Roman" w:cs="Times New Roman" w:hint="default"/>
          <w:sz w:val="24"/>
          <w:szCs w:val="24"/>
        </w:rPr>
      </w:pPr>
      <w:r>
        <w:rPr>
          <w:rFonts w:ascii="Times New Roman" w:hAnsi="Times New Roman" w:cs="Times New Roman" w:hint="default"/>
          <w:sz w:val="24"/>
          <w:szCs w:val="24"/>
        </w:rPr>
        <w:t>The study will also use a secondary source, such as academic journals related to finance and accounting. Commercial banks, central banks, and regulatory authorities will be consulted to obtain additional information about the European monetary policy nexus of central banks (</w:t>
      </w:r>
      <w:r>
        <w:rPr>
          <w:rFonts w:ascii="Times New Roman" w:hAnsi="Times New Roman" w:cs="Times New Roman" w:hint="default"/>
          <w:color w:val="222222"/>
          <w:sz w:val="24"/>
          <w:szCs w:val="24"/>
          <w:shd w:val="clear" w:color="auto" w:fill="FFFFFF"/>
        </w:rPr>
        <w:t>Doğan</w:t>
      </w:r>
      <w:r>
        <w:rPr>
          <w:rFonts w:ascii="Times New Roman" w:hAnsi="Times New Roman" w:cs="Times New Roman" w:hint="default"/>
          <w:sz w:val="24"/>
          <w:szCs w:val="24"/>
        </w:rPr>
        <w:t xml:space="preserve">, </w:t>
      </w:r>
      <w:r>
        <w:rPr>
          <w:rFonts w:ascii="Times New Roman" w:hAnsi="Times New Roman" w:cs="Times New Roman" w:hint="default"/>
          <w:color w:val="222222"/>
          <w:sz w:val="24"/>
          <w:szCs w:val="24"/>
          <w:shd w:val="clear" w:color="auto" w:fill="FFFFFF"/>
        </w:rPr>
        <w:t>2020</w:t>
      </w:r>
      <w:r>
        <w:rPr>
          <w:rFonts w:ascii="Times New Roman" w:hAnsi="Times New Roman" w:cs="Times New Roman" w:hint="default"/>
          <w:sz w:val="24"/>
          <w:szCs w:val="24"/>
        </w:rPr>
        <w:t>)</w:t>
      </w:r>
      <w:r>
        <w:rPr>
          <w:rFonts w:ascii="Times New Roman" w:hAnsi="Times New Roman" w:cs="Times New Roman" w:hint="default"/>
          <w:sz w:val="24"/>
          <w:szCs w:val="24"/>
        </w:rPr>
        <w:t>. Qualitative data analysis of commercial banks, central banks, and regulatory authorities will be used to evaluate the relationship between commercial banks' business models and performance.</w:t>
      </w:r>
    </w:p>
    <w:p>
      <w:pPr>
        <w:pStyle w:val="Heading2"/>
        <w:spacing w:line="480" w:lineRule="auto"/>
        <w:rPr>
          <w:rFonts w:ascii="Times New Roman" w:hAnsi="Times New Roman" w:cs="Times New Roman" w:hint="default"/>
          <w:b/>
          <w:bCs/>
          <w:color w:val="auto"/>
          <w:sz w:val="24"/>
          <w:szCs w:val="24"/>
        </w:rPr>
      </w:pPr>
      <w:bookmarkStart w:id="12" w:name="_Toc120864784"/>
      <w:r>
        <w:rPr>
          <w:rFonts w:ascii="Times New Roman" w:hAnsi="Times New Roman" w:cs="Times New Roman" w:hint="default"/>
          <w:b/>
          <w:bCs/>
          <w:color w:val="auto"/>
          <w:sz w:val="24"/>
          <w:szCs w:val="24"/>
        </w:rPr>
        <w:t>3.3 Method of Data Collection</w:t>
      </w:r>
      <w:bookmarkEnd w:id="12"/>
    </w:p>
    <w:p>
      <w:pPr>
        <w:spacing w:line="480" w:lineRule="auto"/>
        <w:ind w:firstLine="720"/>
        <w:rPr>
          <w:rFonts w:ascii="Times New Roman" w:hAnsi="Times New Roman" w:cs="Times New Roman" w:hint="default"/>
          <w:sz w:val="24"/>
          <w:szCs w:val="24"/>
        </w:rPr>
      </w:pPr>
      <w:r>
        <w:rPr>
          <w:rFonts w:ascii="Times New Roman" w:hAnsi="Times New Roman" w:cs="Times New Roman" w:hint="default"/>
          <w:sz w:val="24"/>
          <w:szCs w:val="24"/>
        </w:rPr>
        <w:t>The method will be to gather secondary data from commercial banks, central banks, and regulatory authorities (Belke &amp; Beretta, 2020). It will provide valuable information about the European monetary policy nexus of central banks and their relationship with commercial banks.</w:t>
      </w:r>
    </w:p>
    <w:p>
      <w:pPr>
        <w:pStyle w:val="Heading2"/>
        <w:spacing w:line="480" w:lineRule="auto"/>
        <w:rPr>
          <w:rFonts w:ascii="Times New Roman" w:hAnsi="Times New Roman" w:cs="Times New Roman" w:hint="default"/>
          <w:b/>
          <w:bCs/>
          <w:color w:val="auto"/>
          <w:sz w:val="24"/>
          <w:szCs w:val="24"/>
        </w:rPr>
      </w:pPr>
      <w:bookmarkStart w:id="13" w:name="_Toc120864785"/>
      <w:r>
        <w:rPr>
          <w:rFonts w:ascii="Times New Roman" w:hAnsi="Times New Roman" w:cs="Times New Roman" w:hint="default"/>
          <w:b/>
          <w:bCs/>
          <w:color w:val="auto"/>
          <w:sz w:val="24"/>
          <w:szCs w:val="24"/>
        </w:rPr>
        <w:t>3.4 Validity and Reliability</w:t>
      </w:r>
      <w:bookmarkEnd w:id="13"/>
    </w:p>
    <w:p>
      <w:pPr>
        <w:pStyle w:val="Heading3"/>
        <w:spacing w:line="480" w:lineRule="auto"/>
        <w:rPr>
          <w:rFonts w:ascii="Times New Roman" w:hAnsi="Times New Roman" w:cs="Times New Roman" w:hint="default"/>
          <w:b/>
          <w:bCs/>
          <w:color w:val="auto"/>
          <w:sz w:val="24"/>
          <w:szCs w:val="24"/>
        </w:rPr>
      </w:pPr>
      <w:bookmarkStart w:id="14" w:name="_Toc120864786"/>
      <w:r>
        <w:rPr>
          <w:rFonts w:ascii="Times New Roman" w:hAnsi="Times New Roman" w:cs="Times New Roman" w:hint="default"/>
          <w:b/>
          <w:bCs/>
          <w:color w:val="auto"/>
          <w:sz w:val="24"/>
          <w:szCs w:val="24"/>
        </w:rPr>
        <w:t>3.4.1 Validity</w:t>
      </w:r>
      <w:bookmarkEnd w:id="14"/>
      <w:r>
        <w:rPr>
          <w:rFonts w:ascii="Times New Roman" w:hAnsi="Times New Roman" w:cs="Times New Roman" w:hint="default"/>
          <w:b/>
          <w:bCs/>
          <w:color w:val="auto"/>
          <w:sz w:val="24"/>
          <w:szCs w:val="24"/>
        </w:rPr>
        <w:t xml:space="preserve"> </w:t>
      </w:r>
    </w:p>
    <w:p>
      <w:pPr>
        <w:spacing w:line="480" w:lineRule="auto"/>
        <w:ind w:firstLine="720"/>
        <w:rPr>
          <w:rFonts w:ascii="Times New Roman" w:hAnsi="Times New Roman" w:cs="Times New Roman" w:hint="default"/>
          <w:sz w:val="24"/>
          <w:szCs w:val="24"/>
        </w:rPr>
      </w:pPr>
      <w:r>
        <w:rPr>
          <w:rFonts w:ascii="Times New Roman" w:hAnsi="Times New Roman" w:cs="Times New Roman" w:hint="default"/>
          <w:sz w:val="24"/>
          <w:szCs w:val="24"/>
        </w:rPr>
        <w:t>The validity of the data will be the primary concern. It will be analyzed to see whether or not it supports the hypothesis. The hypothesis is that commercial banks' business models negatively affect economic growth and job creation while also slowing inflation.</w:t>
      </w:r>
    </w:p>
    <w:p>
      <w:pPr>
        <w:pStyle w:val="Heading3"/>
        <w:spacing w:line="480" w:lineRule="auto"/>
        <w:rPr>
          <w:rFonts w:ascii="Times New Roman" w:hAnsi="Times New Roman" w:cs="Times New Roman" w:hint="default"/>
          <w:b/>
          <w:bCs/>
          <w:color w:val="auto"/>
          <w:sz w:val="24"/>
          <w:szCs w:val="24"/>
        </w:rPr>
      </w:pPr>
      <w:bookmarkStart w:id="15" w:name="_Toc120864787"/>
      <w:r>
        <w:rPr>
          <w:rFonts w:ascii="Times New Roman" w:hAnsi="Times New Roman" w:cs="Times New Roman" w:hint="default"/>
          <w:b/>
          <w:bCs/>
          <w:color w:val="auto"/>
          <w:sz w:val="24"/>
          <w:szCs w:val="24"/>
        </w:rPr>
        <w:t>3.4.2 Reliability</w:t>
      </w:r>
      <w:bookmarkEnd w:id="15"/>
      <w:r>
        <w:rPr>
          <w:rFonts w:ascii="Times New Roman" w:hAnsi="Times New Roman" w:cs="Times New Roman" w:hint="default"/>
          <w:b/>
          <w:bCs/>
          <w:color w:val="auto"/>
          <w:sz w:val="24"/>
          <w:szCs w:val="24"/>
        </w:rPr>
        <w:t xml:space="preserve"> </w:t>
      </w:r>
    </w:p>
    <w:p>
      <w:pPr>
        <w:spacing w:line="480" w:lineRule="auto"/>
        <w:ind w:firstLine="720"/>
        <w:rPr>
          <w:rFonts w:ascii="Times New Roman" w:hAnsi="Times New Roman" w:cs="Times New Roman" w:hint="default"/>
          <w:sz w:val="24"/>
          <w:szCs w:val="24"/>
        </w:rPr>
      </w:pPr>
      <w:r>
        <w:rPr>
          <w:rFonts w:ascii="Times New Roman" w:hAnsi="Times New Roman" w:cs="Times New Roman" w:hint="default"/>
          <w:sz w:val="24"/>
          <w:szCs w:val="24"/>
        </w:rPr>
        <w:t>The Reliability of the data will be another concern. The data should be reliable enough to support the hypothesis.</w:t>
      </w:r>
    </w:p>
    <w:p>
      <w:pPr>
        <w:pStyle w:val="Heading2"/>
        <w:spacing w:line="480" w:lineRule="auto"/>
        <w:rPr>
          <w:rFonts w:ascii="Times New Roman" w:hAnsi="Times New Roman" w:cs="Times New Roman" w:hint="default"/>
          <w:b/>
          <w:bCs/>
          <w:color w:val="auto"/>
          <w:sz w:val="24"/>
          <w:szCs w:val="24"/>
        </w:rPr>
      </w:pPr>
      <w:bookmarkStart w:id="16" w:name="_Toc120864788"/>
      <w:r>
        <w:rPr>
          <w:rFonts w:ascii="Times New Roman" w:hAnsi="Times New Roman" w:cs="Times New Roman" w:hint="default"/>
          <w:b/>
          <w:bCs/>
          <w:color w:val="auto"/>
          <w:sz w:val="24"/>
          <w:szCs w:val="24"/>
        </w:rPr>
        <w:t>3.5 Data Analysis</w:t>
      </w:r>
      <w:bookmarkEnd w:id="16"/>
    </w:p>
    <w:p>
      <w:pPr>
        <w:spacing w:line="480" w:lineRule="auto"/>
        <w:ind w:firstLine="720"/>
        <w:rPr>
          <w:rFonts w:ascii="Times New Roman" w:hAnsi="Times New Roman" w:cs="Times New Roman" w:hint="default"/>
          <w:sz w:val="24"/>
          <w:szCs w:val="24"/>
        </w:rPr>
      </w:pPr>
      <w:r>
        <w:rPr>
          <w:rFonts w:ascii="Times New Roman" w:hAnsi="Times New Roman" w:cs="Times New Roman" w:hint="default"/>
          <w:sz w:val="24"/>
          <w:szCs w:val="24"/>
        </w:rPr>
        <w:t>The data will be analyzed using a qualitative method to explain the relationship between commercial and central banks. The analysis will include commercial banks, central banks, and regulatory authorities throughout the EU.</w:t>
      </w:r>
    </w:p>
    <w:p>
      <w:pPr>
        <w:pStyle w:val="Heading2"/>
        <w:spacing w:line="480" w:lineRule="auto"/>
        <w:rPr>
          <w:rFonts w:ascii="Times New Roman" w:hAnsi="Times New Roman" w:cs="Times New Roman" w:hint="default"/>
          <w:b/>
          <w:bCs/>
          <w:color w:val="auto"/>
          <w:sz w:val="24"/>
          <w:szCs w:val="24"/>
        </w:rPr>
      </w:pPr>
      <w:bookmarkStart w:id="17" w:name="_Toc120864789"/>
      <w:r>
        <w:rPr>
          <w:rFonts w:ascii="Times New Roman" w:hAnsi="Times New Roman" w:cs="Times New Roman" w:hint="default"/>
          <w:b/>
          <w:bCs/>
          <w:color w:val="auto"/>
          <w:sz w:val="24"/>
          <w:szCs w:val="24"/>
        </w:rPr>
        <w:t>3.6 Limitation of the Methodology</w:t>
      </w:r>
      <w:bookmarkEnd w:id="17"/>
    </w:p>
    <w:p>
      <w:pPr>
        <w:spacing w:line="480" w:lineRule="auto"/>
        <w:ind w:firstLine="720"/>
        <w:rPr>
          <w:rFonts w:ascii="Times New Roman" w:hAnsi="Times New Roman" w:cs="Times New Roman" w:hint="default"/>
          <w:sz w:val="24"/>
          <w:szCs w:val="24"/>
        </w:rPr>
      </w:pPr>
      <w:r>
        <w:rPr>
          <w:rFonts w:ascii="Times New Roman" w:hAnsi="Times New Roman" w:cs="Times New Roman" w:hint="default"/>
          <w:sz w:val="24"/>
          <w:szCs w:val="24"/>
        </w:rPr>
        <w:t>The limitation of this methodology is that the availability and credibility of data will limit it. This is a recurring problem in quantitative studies, especially one like this that utilizes secondary sources. The availability and credibility of the sources may modify the data.</w:t>
      </w:r>
    </w:p>
    <w:p>
      <w:pPr>
        <w:spacing w:line="480" w:lineRule="auto"/>
        <w:rPr>
          <w:rFonts w:ascii="Times New Roman" w:hAnsi="Times New Roman" w:cs="Times New Roman" w:hint="default"/>
          <w:sz w:val="24"/>
          <w:szCs w:val="24"/>
        </w:rPr>
      </w:pPr>
      <w:r>
        <w:rPr>
          <w:rFonts w:ascii="Times New Roman" w:hAnsi="Times New Roman" w:cs="Times New Roman" w:hint="default"/>
          <w:sz w:val="24"/>
          <w:szCs w:val="24"/>
        </w:rPr>
        <w:br w:type="page"/>
      </w:r>
    </w:p>
    <w:p>
      <w:pPr>
        <w:pStyle w:val="Heading1"/>
        <w:bidi w:val="0"/>
        <w:spacing w:line="480" w:lineRule="auto"/>
        <w:jc w:val="center"/>
        <w:rPr>
          <w:rFonts w:hint="default"/>
          <w:b/>
          <w:bCs/>
          <w:color w:val="auto"/>
        </w:rPr>
      </w:pPr>
      <w:bookmarkStart w:id="18" w:name="_GoBack"/>
      <w:r>
        <w:rPr>
          <w:rFonts w:ascii="Times New Roman" w:hAnsi="Times New Roman" w:cs="Times New Roman" w:hint="default"/>
          <w:b/>
          <w:bCs/>
          <w:color w:val="auto"/>
          <w:sz w:val="24"/>
          <w:szCs w:val="24"/>
        </w:rPr>
        <w:t>References</w:t>
      </w:r>
      <w:bookmarkEnd w:id="18"/>
    </w:p>
    <w:p>
      <w:pPr>
        <w:spacing w:line="480" w:lineRule="auto"/>
        <w:ind w:left="720" w:hanging="720"/>
        <w:rPr>
          <w:rFonts w:ascii="Times New Roman" w:hAnsi="Times New Roman" w:cs="Times New Roman" w:hint="default"/>
          <w:color w:val="222222"/>
          <w:sz w:val="24"/>
          <w:szCs w:val="24"/>
          <w:shd w:val="clear" w:color="auto" w:fill="FFFFFF"/>
        </w:rPr>
      </w:pPr>
      <w:r>
        <w:rPr>
          <w:rFonts w:ascii="Times New Roman" w:hAnsi="Times New Roman" w:cs="Times New Roman" w:hint="default"/>
          <w:color w:val="222222"/>
          <w:sz w:val="24"/>
          <w:szCs w:val="24"/>
          <w:shd w:val="clear" w:color="auto" w:fill="FFFFFF"/>
        </w:rPr>
        <w:t>Auer, R., Frost, J., Gambacorta, L., Monnet, C., Rice, T., &amp; Shin, H. S. (2022). Central bank digital currencies: motives, economic implications, and the research frontier. </w:t>
      </w:r>
      <w:r>
        <w:rPr>
          <w:rFonts w:ascii="Times New Roman" w:hAnsi="Times New Roman" w:cs="Times New Roman" w:hint="default"/>
          <w:i/>
          <w:iCs/>
          <w:color w:val="222222"/>
          <w:sz w:val="24"/>
          <w:szCs w:val="24"/>
          <w:shd w:val="clear" w:color="auto" w:fill="FFFFFF"/>
        </w:rPr>
        <w:t>Annual Review of Economics</w:t>
      </w:r>
      <w:r>
        <w:rPr>
          <w:rFonts w:ascii="Times New Roman" w:hAnsi="Times New Roman" w:cs="Times New Roman" w:hint="default"/>
          <w:color w:val="222222"/>
          <w:sz w:val="24"/>
          <w:szCs w:val="24"/>
          <w:shd w:val="clear" w:color="auto" w:fill="FFFFFF"/>
        </w:rPr>
        <w:t>, </w:t>
      </w:r>
      <w:r>
        <w:rPr>
          <w:rFonts w:ascii="Times New Roman" w:hAnsi="Times New Roman" w:cs="Times New Roman" w:hint="default"/>
          <w:i/>
          <w:iCs/>
          <w:color w:val="222222"/>
          <w:sz w:val="24"/>
          <w:szCs w:val="24"/>
          <w:shd w:val="clear" w:color="auto" w:fill="FFFFFF"/>
        </w:rPr>
        <w:t>14</w:t>
      </w:r>
      <w:r>
        <w:rPr>
          <w:rFonts w:ascii="Times New Roman" w:hAnsi="Times New Roman" w:cs="Times New Roman" w:hint="default"/>
          <w:color w:val="222222"/>
          <w:sz w:val="24"/>
          <w:szCs w:val="24"/>
          <w:shd w:val="clear" w:color="auto" w:fill="FFFFFF"/>
        </w:rPr>
        <w:t>, 697-721.</w:t>
      </w:r>
    </w:p>
    <w:p>
      <w:pPr>
        <w:spacing w:line="480" w:lineRule="auto"/>
        <w:ind w:left="720" w:hanging="720"/>
        <w:rPr>
          <w:rFonts w:ascii="Times New Roman" w:hAnsi="Times New Roman" w:cs="Times New Roman" w:hint="default"/>
          <w:color w:val="222222"/>
          <w:sz w:val="24"/>
          <w:szCs w:val="24"/>
          <w:shd w:val="clear" w:color="auto" w:fill="FFFFFF"/>
        </w:rPr>
      </w:pPr>
      <w:r>
        <w:rPr>
          <w:rFonts w:ascii="Times New Roman" w:hAnsi="Times New Roman" w:cs="Times New Roman" w:hint="default"/>
          <w:color w:val="222222"/>
          <w:sz w:val="24"/>
          <w:szCs w:val="24"/>
          <w:shd w:val="clear" w:color="auto" w:fill="FFFFFF"/>
        </w:rPr>
        <w:t>Balling, M., Gnan, E., &amp; Warum, P. (2019). European Economic and Monetary Union: The first and the next 20 years. </w:t>
      </w:r>
      <w:r>
        <w:rPr>
          <w:rFonts w:ascii="Times New Roman" w:hAnsi="Times New Roman" w:cs="Times New Roman" w:hint="default"/>
          <w:i/>
          <w:iCs/>
          <w:color w:val="222222"/>
          <w:sz w:val="24"/>
          <w:szCs w:val="24"/>
          <w:shd w:val="clear" w:color="auto" w:fill="FFFFFF"/>
        </w:rPr>
        <w:t>Monetary Policy &amp; the Economy</w:t>
      </w:r>
      <w:r>
        <w:rPr>
          <w:rFonts w:ascii="Times New Roman" w:hAnsi="Times New Roman" w:cs="Times New Roman" w:hint="default"/>
          <w:color w:val="222222"/>
          <w:sz w:val="24"/>
          <w:szCs w:val="24"/>
          <w:shd w:val="clear" w:color="auto" w:fill="FFFFFF"/>
        </w:rPr>
        <w:t>, (Q3/19), 72-83.</w:t>
      </w:r>
    </w:p>
    <w:p>
      <w:pPr>
        <w:spacing w:line="480" w:lineRule="auto"/>
        <w:ind w:left="720" w:hanging="720"/>
        <w:rPr>
          <w:rFonts w:ascii="Times New Roman" w:hAnsi="Times New Roman" w:cs="Times New Roman" w:hint="default"/>
          <w:sz w:val="24"/>
          <w:szCs w:val="24"/>
        </w:rPr>
      </w:pPr>
      <w:r>
        <w:rPr>
          <w:rFonts w:ascii="Times New Roman" w:hAnsi="Times New Roman" w:cs="Times New Roman" w:hint="default"/>
          <w:sz w:val="24"/>
          <w:szCs w:val="24"/>
        </w:rPr>
        <w:t>Belke, A., &amp; Beretta, E. (2020). From cash to central bank digital currencies and cryptocurrencies: a balancing act between modernity and monetary stability. Journal of Economic Studies.</w:t>
      </w:r>
    </w:p>
    <w:p>
      <w:pPr>
        <w:spacing w:line="480" w:lineRule="auto"/>
        <w:ind w:left="720" w:hanging="720"/>
        <w:rPr>
          <w:rFonts w:ascii="Times New Roman" w:hAnsi="Times New Roman" w:cs="Times New Roman" w:hint="default"/>
          <w:color w:val="222222"/>
          <w:sz w:val="24"/>
          <w:szCs w:val="24"/>
          <w:shd w:val="clear" w:color="auto" w:fill="FFFFFF"/>
        </w:rPr>
      </w:pPr>
      <w:r>
        <w:rPr>
          <w:rFonts w:ascii="Times New Roman" w:hAnsi="Times New Roman" w:cs="Times New Roman" w:hint="default"/>
          <w:color w:val="222222"/>
          <w:sz w:val="24"/>
          <w:szCs w:val="24"/>
          <w:shd w:val="clear" w:color="auto" w:fill="FFFFFF"/>
        </w:rPr>
        <w:t>Doğan, M. (2020). Transformation of Banking: Negative Interest Rates and Central Bank Digital Currency Design Principles and Implications. </w:t>
      </w:r>
      <w:r>
        <w:rPr>
          <w:rFonts w:ascii="Times New Roman" w:hAnsi="Times New Roman" w:cs="Times New Roman" w:hint="default"/>
          <w:i/>
          <w:iCs/>
          <w:color w:val="222222"/>
          <w:sz w:val="24"/>
          <w:szCs w:val="24"/>
          <w:shd w:val="clear" w:color="auto" w:fill="FFFFFF"/>
        </w:rPr>
        <w:t>Istanbul University</w:t>
      </w:r>
      <w:r>
        <w:rPr>
          <w:rFonts w:ascii="Times New Roman" w:hAnsi="Times New Roman" w:cs="Times New Roman" w:hint="default"/>
          <w:color w:val="222222"/>
          <w:sz w:val="24"/>
          <w:szCs w:val="24"/>
          <w:shd w:val="clear" w:color="auto" w:fill="FFFFFF"/>
        </w:rPr>
        <w:t>.</w:t>
      </w:r>
    </w:p>
    <w:p>
      <w:pPr>
        <w:spacing w:line="480" w:lineRule="auto"/>
        <w:ind w:left="720" w:hanging="720"/>
        <w:rPr>
          <w:rFonts w:ascii="Times New Roman" w:hAnsi="Times New Roman" w:cs="Times New Roman" w:hint="default"/>
          <w:sz w:val="24"/>
          <w:szCs w:val="24"/>
        </w:rPr>
      </w:pPr>
      <w:r>
        <w:rPr>
          <w:rFonts w:ascii="Times New Roman" w:hAnsi="Times New Roman" w:cs="Times New Roman" w:hint="default"/>
          <w:sz w:val="24"/>
          <w:szCs w:val="24"/>
          <w:lang w:val="it-IT"/>
        </w:rPr>
        <w:t xml:space="preserve">Griffoli, M. T. M., Peria, M. M. S. M., Agur, M. I., Ari, M. A., Kiff, M. J., Popescu, M. A., &amp; Rochon, M. C. (2018). </w:t>
      </w:r>
      <w:r>
        <w:rPr>
          <w:rFonts w:ascii="Times New Roman" w:hAnsi="Times New Roman" w:cs="Times New Roman" w:hint="default"/>
          <w:sz w:val="24"/>
          <w:szCs w:val="24"/>
        </w:rPr>
        <w:t>Casting light on central bank digital currencies. International Monetary Fund.</w:t>
      </w:r>
    </w:p>
    <w:p>
      <w:pPr>
        <w:spacing w:line="480" w:lineRule="auto"/>
        <w:ind w:left="720" w:hanging="720"/>
        <w:rPr>
          <w:rFonts w:ascii="Times New Roman" w:hAnsi="Times New Roman" w:cs="Times New Roman" w:hint="default"/>
          <w:sz w:val="24"/>
          <w:szCs w:val="24"/>
        </w:rPr>
      </w:pPr>
      <w:r>
        <w:rPr>
          <w:rFonts w:ascii="Times New Roman" w:hAnsi="Times New Roman" w:cs="Times New Roman" w:hint="default"/>
          <w:sz w:val="24"/>
          <w:szCs w:val="24"/>
        </w:rPr>
        <w:t>Iorember, P. T., Jelilov, G., Alymkulova, N., &amp; Yua, P. M. (2022). Reconsidering the nexus between monetary policy and economic growth in Nigeria: The role of interest rate, money supply, and financial inclusion. International Social Science Journal, 72(244), 339-351.</w:t>
      </w:r>
    </w:p>
    <w:p>
      <w:pPr>
        <w:spacing w:line="480" w:lineRule="auto"/>
        <w:ind w:left="720" w:hanging="720"/>
        <w:rPr>
          <w:rFonts w:ascii="Times New Roman" w:hAnsi="Times New Roman" w:cs="Times New Roman" w:hint="default"/>
          <w:sz w:val="24"/>
          <w:szCs w:val="24"/>
        </w:rPr>
      </w:pPr>
      <w:r>
        <w:rPr>
          <w:rFonts w:ascii="Times New Roman" w:hAnsi="Times New Roman" w:cs="Times New Roman" w:hint="default"/>
          <w:sz w:val="24"/>
          <w:szCs w:val="24"/>
        </w:rPr>
        <w:t>Meaning, J., Dyson, B., Barker, J., &amp; Clayton, E. (2018). Broadening narrow money: monetary policy with a central bank digital currency.</w:t>
      </w:r>
    </w:p>
    <w:p>
      <w:pPr>
        <w:spacing w:line="480" w:lineRule="auto"/>
        <w:ind w:left="720" w:hanging="720"/>
        <w:rPr>
          <w:rFonts w:ascii="Times New Roman" w:hAnsi="Times New Roman" w:cs="Times New Roman" w:hint="default"/>
          <w:color w:val="222222"/>
          <w:sz w:val="24"/>
          <w:szCs w:val="24"/>
          <w:shd w:val="clear" w:color="auto" w:fill="FFFFFF"/>
        </w:rPr>
      </w:pPr>
      <w:r>
        <w:rPr>
          <w:rFonts w:ascii="Times New Roman" w:hAnsi="Times New Roman" w:cs="Times New Roman" w:hint="default"/>
          <w:color w:val="222222"/>
          <w:sz w:val="24"/>
          <w:szCs w:val="24"/>
          <w:shd w:val="clear" w:color="auto" w:fill="FFFFFF"/>
        </w:rPr>
        <w:t>Pieters, G. (2021). Digital currencies and central banks. In </w:t>
      </w:r>
      <w:r>
        <w:rPr>
          <w:rFonts w:ascii="Times New Roman" w:hAnsi="Times New Roman" w:cs="Times New Roman" w:hint="default"/>
          <w:i/>
          <w:iCs/>
          <w:color w:val="222222"/>
          <w:sz w:val="24"/>
          <w:szCs w:val="24"/>
          <w:shd w:val="clear" w:color="auto" w:fill="FFFFFF"/>
        </w:rPr>
        <w:t>The Palgrave Handbook of Technological Finance</w:t>
      </w:r>
      <w:r>
        <w:rPr>
          <w:rFonts w:ascii="Times New Roman" w:hAnsi="Times New Roman" w:cs="Times New Roman" w:hint="default"/>
          <w:color w:val="222222"/>
          <w:sz w:val="24"/>
          <w:szCs w:val="24"/>
          <w:shd w:val="clear" w:color="auto" w:fill="FFFFFF"/>
        </w:rPr>
        <w:t> (pp. 139-160). Palgrave Macmillan, Cham.</w:t>
      </w:r>
    </w:p>
    <w:p>
      <w:pPr>
        <w:spacing w:line="480" w:lineRule="auto"/>
        <w:ind w:left="720" w:hanging="720"/>
        <w:rPr>
          <w:rFonts w:ascii="Times New Roman" w:hAnsi="Times New Roman" w:cs="Times New Roman" w:hint="default"/>
          <w:sz w:val="24"/>
          <w:szCs w:val="24"/>
        </w:rPr>
      </w:pPr>
      <w:r>
        <w:rPr>
          <w:rFonts w:ascii="Times New Roman" w:hAnsi="Times New Roman" w:cs="Times New Roman" w:hint="default"/>
          <w:color w:val="222222"/>
          <w:sz w:val="24"/>
          <w:szCs w:val="24"/>
          <w:shd w:val="clear" w:color="auto" w:fill="FFFFFF"/>
        </w:rPr>
        <w:t>Wandhöfer, R. (2017). The future of digital retail payments in Europe: A place for digital cash?. </w:t>
      </w:r>
      <w:r>
        <w:rPr>
          <w:rFonts w:ascii="Times New Roman" w:hAnsi="Times New Roman" w:cs="Times New Roman" w:hint="default"/>
          <w:i/>
          <w:iCs/>
          <w:color w:val="222222"/>
          <w:sz w:val="24"/>
          <w:szCs w:val="24"/>
          <w:shd w:val="clear" w:color="auto" w:fill="FFFFFF"/>
        </w:rPr>
        <w:t>Journal of Payments Strategy &amp; Systems</w:t>
      </w:r>
      <w:r>
        <w:rPr>
          <w:rFonts w:ascii="Times New Roman" w:hAnsi="Times New Roman" w:cs="Times New Roman" w:hint="default"/>
          <w:color w:val="222222"/>
          <w:sz w:val="24"/>
          <w:szCs w:val="24"/>
          <w:shd w:val="clear" w:color="auto" w:fill="FFFFFF"/>
        </w:rPr>
        <w:t>, </w:t>
      </w:r>
      <w:r>
        <w:rPr>
          <w:rFonts w:ascii="Times New Roman" w:hAnsi="Times New Roman" w:cs="Times New Roman" w:hint="default"/>
          <w:i/>
          <w:iCs/>
          <w:color w:val="222222"/>
          <w:sz w:val="24"/>
          <w:szCs w:val="24"/>
          <w:shd w:val="clear" w:color="auto" w:fill="FFFFFF"/>
        </w:rPr>
        <w:t>11</w:t>
      </w:r>
      <w:r>
        <w:rPr>
          <w:rFonts w:ascii="Times New Roman" w:hAnsi="Times New Roman" w:cs="Times New Roman" w:hint="default"/>
          <w:color w:val="222222"/>
          <w:sz w:val="24"/>
          <w:szCs w:val="24"/>
          <w:shd w:val="clear" w:color="auto" w:fill="FFFFFF"/>
        </w:rPr>
        <w:t>(3), 248-258.</w:t>
      </w:r>
    </w:p>
    <w:p>
      <w:pPr>
        <w:spacing w:line="480" w:lineRule="auto"/>
        <w:rPr>
          <w:rFonts w:ascii="Times New Roman" w:hAnsi="Times New Roman" w:cs="Times New Roman" w:hint="default"/>
          <w:sz w:val="24"/>
          <w:szCs w:val="24"/>
        </w:rPr>
      </w:pPr>
    </w:p>
    <w:p>
      <w:pPr>
        <w:spacing w:line="480" w:lineRule="auto"/>
        <w:rPr>
          <w:rFonts w:ascii="Times New Roman" w:hAnsi="Times New Roman" w:cs="Times New Roman" w:hint="default"/>
          <w:sz w:val="24"/>
          <w:szCs w:val="24"/>
        </w:rPr>
      </w:pPr>
    </w:p>
    <w:p>
      <w:pPr>
        <w:spacing w:line="480" w:lineRule="auto"/>
        <w:rPr>
          <w:rFonts w:ascii="Times New Roman" w:hAnsi="Times New Roman" w:cs="Times New Roman" w:hint="default"/>
          <w:sz w:val="24"/>
          <w:szCs w:val="24"/>
        </w:rPr>
      </w:pPr>
    </w:p>
    <w:p>
      <w:pPr>
        <w:spacing w:line="480" w:lineRule="auto"/>
        <w:rPr>
          <w:rFonts w:ascii="Times New Roman" w:hAnsi="Times New Roman" w:cs="Times New Roman" w:hint="default"/>
          <w:sz w:val="24"/>
          <w:szCs w:val="24"/>
        </w:rPr>
      </w:pPr>
    </w:p>
    <w:p>
      <w:pPr>
        <w:spacing w:line="480" w:lineRule="auto"/>
        <w:rPr>
          <w:rFonts w:ascii="Times New Roman" w:hAnsi="Times New Roman" w:cs="Times New Roman" w:hint="default"/>
          <w:sz w:val="24"/>
          <w:szCs w:val="24"/>
        </w:rPr>
      </w:pPr>
    </w:p>
    <w:p>
      <w:pPr>
        <w:spacing w:line="480" w:lineRule="auto"/>
        <w:rPr>
          <w:rFonts w:ascii="Times New Roman" w:hAnsi="Times New Roman" w:cs="Times New Roman" w:hint="default"/>
          <w:sz w:val="24"/>
          <w:szCs w:val="24"/>
        </w:rPr>
      </w:pPr>
    </w:p>
    <w:p>
      <w:pPr>
        <w:spacing w:line="480" w:lineRule="auto"/>
        <w:rPr>
          <w:rFonts w:ascii="Times New Roman" w:hAnsi="Times New Roman" w:cs="Times New Roman" w:hint="default"/>
          <w:sz w:val="24"/>
          <w:szCs w:val="24"/>
        </w:rPr>
      </w:pPr>
    </w:p>
    <w:p>
      <w:pPr>
        <w:spacing w:line="480" w:lineRule="auto"/>
        <w:rPr>
          <w:rFonts w:ascii="Times New Roman" w:hAnsi="Times New Roman" w:cs="Times New Roman" w:hint="default"/>
          <w:sz w:val="24"/>
          <w:szCs w:val="24"/>
        </w:rPr>
      </w:pPr>
    </w:p>
    <w:p>
      <w:pPr>
        <w:spacing w:line="480" w:lineRule="auto"/>
        <w:rPr>
          <w:rFonts w:ascii="Times New Roman" w:hAnsi="Times New Roman" w:cs="Times New Roman" w:hint="default"/>
          <w:sz w:val="24"/>
          <w:szCs w:val="24"/>
        </w:rPr>
      </w:pPr>
    </w:p>
    <w:p>
      <w:pPr>
        <w:spacing w:line="480" w:lineRule="auto"/>
        <w:rPr>
          <w:rFonts w:ascii="Times New Roman" w:hAnsi="Times New Roman" w:cs="Times New Roman" w:hint="default"/>
          <w:sz w:val="24"/>
          <w:szCs w:val="24"/>
        </w:rPr>
      </w:pPr>
    </w:p>
    <w:p>
      <w:pPr>
        <w:spacing w:line="480" w:lineRule="auto"/>
        <w:rPr>
          <w:rFonts w:ascii="Times New Roman" w:hAnsi="Times New Roman" w:cs="Times New Roman" w:hint="default"/>
          <w:sz w:val="24"/>
          <w:szCs w:val="24"/>
        </w:rPr>
      </w:pPr>
    </w:p>
    <w:p>
      <w:pPr>
        <w:spacing w:line="480" w:lineRule="auto"/>
        <w:rPr>
          <w:rFonts w:ascii="Times New Roman" w:hAnsi="Times New Roman" w:cs="Times New Roman" w:hint="default"/>
          <w:sz w:val="24"/>
          <w:szCs w:val="24"/>
        </w:rPr>
      </w:pPr>
    </w:p>
    <w:p>
      <w:pPr>
        <w:spacing w:line="480" w:lineRule="auto"/>
        <w:rPr>
          <w:rFonts w:ascii="Times New Roman" w:hAnsi="Times New Roman" w:cs="Times New Roman" w:hint="default"/>
          <w:sz w:val="24"/>
          <w:szCs w:val="24"/>
        </w:rPr>
      </w:pPr>
    </w:p>
    <w:sectPr>
      <w:headerReference w:type="default" r:id="rId6"/>
      <w:pgSz w:w="12240" w:h="15840"/>
      <w:pgMar w:top="1440" w:right="1440" w:bottom="1440" w:left="1440" w:header="720" w:footer="720" w:gutter="0"/>
      <w:pgNumType w:fmt="decimal"/>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4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adin">
    <w:altName w:val="Segoe Print"/>
    <w:panose1 w:val="00000000000000000000"/>
    <w:charset w:val="00"/>
    <w:family w:val="auto"/>
    <w:pitch w:val="default"/>
    <w:sig w:usb0="00000000" w:usb1="00000000" w:usb2="00000000" w:usb3="00000000" w:csb0="00000000" w:csb1="00000000"/>
  </w:font>
  <w:font w:name="+Headi">
    <w:altName w:val="Segoe Print"/>
    <w:panose1 w:val="00000000000000000000"/>
    <w:charset w:val="00"/>
    <w:family w:val="auto"/>
    <w:pitch w:val="default"/>
    <w:sig w:usb0="00000000" w:usb1="00000000" w:usb2="00000000" w:usb3="00000000" w:csb0="00000000" w:csb1="00000000"/>
  </w:font>
  <w:font w:name="+Head">
    <w:altName w:val="Segoe Print"/>
    <w:panose1 w:val="00000000000000000000"/>
    <w:charset w:val="00"/>
    <w:family w:val="auto"/>
    <w:pitch w:val="default"/>
    <w:sig w:usb0="00000000" w:usb1="00000000" w:usb2="00000000" w:usb3="00000000" w:csb0="00000000" w:csb1="00000000"/>
  </w:font>
  <w:font w:name="+Hea">
    <w:altName w:val="Segoe Print"/>
    <w:panose1 w:val="00000000000000000000"/>
    <w:charset w:val="00"/>
    <w:family w:val="auto"/>
    <w:pitch w:val="default"/>
    <w:sig w:usb0="00000000" w:usb1="00000000" w:usb2="00000000" w:usb3="00000000" w:csb0="00000000" w:csb1="00000000"/>
  </w:font>
  <w:font w:name="+He">
    <w:altName w:val="Segoe Print"/>
    <w:panose1 w:val="00000000000000000000"/>
    <w:charset w:val="00"/>
    <w:family w:val="auto"/>
    <w:pitch w:val="default"/>
    <w:sig w:usb0="00000000" w:usb1="00000000" w:usb2="00000000" w:usb3="00000000" w:csb0="00000000" w:csb1="00000000"/>
  </w:font>
  <w:font w:name="+H">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6350">
                        <a:noFill/>
                      </a:ln>
                      <a:extLst>
                        <a:ext xmlns:a="http://schemas.openxmlformats.org/drawingml/2006/main" uri="{909E8E84-426E-40DD-AFC4-6F175D3DCCD1}">
                          <a14:hiddenFill xmlns:a14="http://schemas.microsoft.com/office/drawing/2010/main">
                            <a:solidFill>
                              <a:schemeClr val="lt1"/>
                            </a:solidFill>
                          </a14:hiddenFill>
                        </a:ext>
                        <a:ext xmlns:a="http://schemas.openxmlformats.org/drawingml/2006/main"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Head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26" o:spid="_x0000_s2049" type="#_x0000_t202" style="width:2in;height:2in;margin-top:0;margin-left:0;mso-height-relative:page;mso-position-horizontal:right;mso-position-horizontal-relative:margin;mso-width-relative:page;mso-wrap-style:none;position:absolute;z-index:251659264" coordsize="21600,21600" filled="f" stroked="f">
              <o:lock v:ext="edit" aspectratio="f"/>
              <v:textbox style="mso-fit-shape-to-text:t" inset="0,0,0,0">
                <w:txbxContent>
                  <w:p>
                    <w:pPr>
                      <w:pStyle w:val="Head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82E"/>
    <w:rsid w:val="00016283"/>
    <w:rsid w:val="00026835"/>
    <w:rsid w:val="0003039D"/>
    <w:rsid w:val="00030F3E"/>
    <w:rsid w:val="000A364F"/>
    <w:rsid w:val="0014036B"/>
    <w:rsid w:val="00195C1D"/>
    <w:rsid w:val="001A3544"/>
    <w:rsid w:val="001A597A"/>
    <w:rsid w:val="001D5D2C"/>
    <w:rsid w:val="001F0300"/>
    <w:rsid w:val="00211012"/>
    <w:rsid w:val="002658CF"/>
    <w:rsid w:val="002B3B86"/>
    <w:rsid w:val="002C0FE7"/>
    <w:rsid w:val="00301AF8"/>
    <w:rsid w:val="00315ABA"/>
    <w:rsid w:val="00316019"/>
    <w:rsid w:val="00383326"/>
    <w:rsid w:val="003C154C"/>
    <w:rsid w:val="003C2D4D"/>
    <w:rsid w:val="003F47D4"/>
    <w:rsid w:val="003F76F4"/>
    <w:rsid w:val="004146BF"/>
    <w:rsid w:val="00423B3B"/>
    <w:rsid w:val="00472C5B"/>
    <w:rsid w:val="005020EC"/>
    <w:rsid w:val="0054276A"/>
    <w:rsid w:val="0054585E"/>
    <w:rsid w:val="005543D6"/>
    <w:rsid w:val="00585A2A"/>
    <w:rsid w:val="00586C18"/>
    <w:rsid w:val="005C0E46"/>
    <w:rsid w:val="005D6AB6"/>
    <w:rsid w:val="005F0CB7"/>
    <w:rsid w:val="00602B4C"/>
    <w:rsid w:val="00617AA7"/>
    <w:rsid w:val="00643F9B"/>
    <w:rsid w:val="00663190"/>
    <w:rsid w:val="006841D7"/>
    <w:rsid w:val="00695F50"/>
    <w:rsid w:val="006B168A"/>
    <w:rsid w:val="006B4701"/>
    <w:rsid w:val="006D7B52"/>
    <w:rsid w:val="007209F7"/>
    <w:rsid w:val="00762978"/>
    <w:rsid w:val="00772331"/>
    <w:rsid w:val="00775C57"/>
    <w:rsid w:val="00777F92"/>
    <w:rsid w:val="007B058F"/>
    <w:rsid w:val="007E1343"/>
    <w:rsid w:val="007E40CB"/>
    <w:rsid w:val="00811DF9"/>
    <w:rsid w:val="00812528"/>
    <w:rsid w:val="008245A8"/>
    <w:rsid w:val="00827E6F"/>
    <w:rsid w:val="00837E8A"/>
    <w:rsid w:val="0085797D"/>
    <w:rsid w:val="008A34AF"/>
    <w:rsid w:val="008D1A53"/>
    <w:rsid w:val="00915564"/>
    <w:rsid w:val="00916127"/>
    <w:rsid w:val="00954063"/>
    <w:rsid w:val="00957830"/>
    <w:rsid w:val="0097075D"/>
    <w:rsid w:val="009A22ED"/>
    <w:rsid w:val="009E42F8"/>
    <w:rsid w:val="00A164C2"/>
    <w:rsid w:val="00A27A92"/>
    <w:rsid w:val="00A43F16"/>
    <w:rsid w:val="00A53834"/>
    <w:rsid w:val="00A60EDC"/>
    <w:rsid w:val="00A636FE"/>
    <w:rsid w:val="00AA63C6"/>
    <w:rsid w:val="00AB0CB3"/>
    <w:rsid w:val="00AB3C8D"/>
    <w:rsid w:val="00B13AF9"/>
    <w:rsid w:val="00B13D07"/>
    <w:rsid w:val="00B1582E"/>
    <w:rsid w:val="00B4005E"/>
    <w:rsid w:val="00BB0FEE"/>
    <w:rsid w:val="00BF675C"/>
    <w:rsid w:val="00BF7663"/>
    <w:rsid w:val="00C0018E"/>
    <w:rsid w:val="00C155B7"/>
    <w:rsid w:val="00C5614F"/>
    <w:rsid w:val="00C84BDC"/>
    <w:rsid w:val="00CD606B"/>
    <w:rsid w:val="00CF6087"/>
    <w:rsid w:val="00D25528"/>
    <w:rsid w:val="00D62CB0"/>
    <w:rsid w:val="00D73178"/>
    <w:rsid w:val="00D96416"/>
    <w:rsid w:val="00DB4E1B"/>
    <w:rsid w:val="00DF2B85"/>
    <w:rsid w:val="00DF2E0B"/>
    <w:rsid w:val="00E416AF"/>
    <w:rsid w:val="00E728D5"/>
    <w:rsid w:val="00E82698"/>
    <w:rsid w:val="00EE04EE"/>
    <w:rsid w:val="00EE0A1B"/>
    <w:rsid w:val="00F00242"/>
    <w:rsid w:val="00F006CE"/>
    <w:rsid w:val="00F306EE"/>
    <w:rsid w:val="00F97028"/>
    <w:rsid w:val="00FA40A0"/>
    <w:rsid w:val="00FA6089"/>
    <w:rsid w:val="2B52130F"/>
    <w:rsid w:val="5A631690"/>
    <w:rsid w:val="5DF9063C"/>
  </w:rsids>
  <w:docVars>
    <w:docVar w:name="__Grammarly_42___1" w:val="H4sIAAAAAAAEAKtWcslP9kxRslIyNDY2NDExNjY3Nzc1tjC1NDNV0lEKTi0uzszPAykwrAUAU1LsjCwAAAA="/>
    <w:docVar w:name="__Grammarly_42____i" w:val="H4sIAAAAAAAEAKtWckksSQxILCpxzi/NK1GyMqwFAAEhoTITAAAA"/>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597"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hAnsi="Times New Roman" w:eastAsiaTheme="majorEastAsia" w:cstheme="majorBidi"/>
      <w:color w:val="2F5597" w:themeColor="accent1" w:themeShade="BF"/>
      <w:sz w:val="24"/>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03864" w:themeColor="accent1" w:themeShade="80"/>
      <w:sz w:val="24"/>
      <w:szCs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uiPriority w:val="99"/>
    <w:semiHidden/>
    <w:unhideWhenUsed/>
    <w:pPr>
      <w:tabs>
        <w:tab w:val="center" w:pos="4153"/>
        <w:tab w:val="right" w:pos="8306"/>
      </w:tabs>
      <w:snapToGrid w:val="0"/>
      <w:jc w:val="left"/>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yperlink">
    <w:name w:val="Hyperlink"/>
    <w:basedOn w:val="DefaultParagraphFont"/>
    <w:uiPriority w:val="99"/>
    <w:unhideWhenUsed/>
    <w:rPr>
      <w:color w:val="0563C1" w:themeColor="hyperlink"/>
      <w:u w:val="single"/>
      <w14:textFill>
        <w14:solidFill>
          <w14:schemeClr w14:val="hlink"/>
        </w14:solidFill>
      </w14:textFill>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ing2Char">
    <w:name w:val="Heading 2 Char"/>
    <w:basedOn w:val="DefaultParagraphFont"/>
    <w:link w:val="Heading2"/>
    <w:uiPriority w:val="9"/>
    <w:qFormat/>
    <w:rPr>
      <w:rFonts w:ascii="Times New Roman" w:hAnsi="Times New Roman" w:eastAsiaTheme="majorEastAsia" w:cstheme="majorBidi"/>
      <w:color w:val="2F5597" w:themeColor="accent1" w:themeShade="BF"/>
      <w:sz w:val="24"/>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597"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03864" w:themeColor="accent1" w:themeShade="80"/>
      <w:sz w:val="24"/>
      <w:szCs w:val="24"/>
    </w:rPr>
  </w:style>
  <w:style w:type="paragraph" w:customStyle="1" w:styleId="TOCHeading">
    <w:name w:val="TOC Heading"/>
    <w:basedOn w:val="Heading1"/>
    <w:next w:val="Normal"/>
    <w:uiPriority w:val="39"/>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CA0424-E8A3-4562-8686-CF3086682843}">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2206</Words>
  <Characters>12577</Characters>
  <Application>Microsoft Office Word</Application>
  <DocSecurity>0</DocSecurity>
  <Lines>104</Lines>
  <Paragraphs>29</Paragraphs>
  <ScaleCrop>false</ScaleCrop>
  <Company/>
  <LinksUpToDate>false</LinksUpToDate>
  <CharactersWithSpaces>14754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tref wagema</dc:creator>
  <cp:lastModifiedBy>user</cp:lastModifiedBy>
  <cp:revision>111</cp:revision>
  <dcterms:created xsi:type="dcterms:W3CDTF">2022-12-02T05:49:00Z</dcterms:created>
  <dcterms:modified xsi:type="dcterms:W3CDTF">2022-12-02T06:55:06Z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8568EA6D8EB14F25BD047F038FE43C42</vt:lpwstr>
  </property>
  <property fmtid="{D5CDD505-2E9C-101B-9397-08002B2CF9AE}" pid="3" name="KSOProductBuildVer">
    <vt:lpwstr>1033-11.2.0.11417</vt:lpwstr>
  </property>
</Properties>
</file>