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-2514596</wp:posOffset>
                </wp:positionV>
                <wp:extent cx="7783200" cy="9651600"/>
                <wp:effectExtent b="0" l="0" r="0" t="0"/>
                <wp:wrapNone/>
                <wp:docPr id="21082040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2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291850" y="0"/>
                                <a:chExt cx="81083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291850" y="0"/>
                                  <a:ext cx="81083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291854" y="0"/>
                                  <a:ext cx="8108292" cy="7560000"/>
                                  <a:chOff x="361725" y="0"/>
                                  <a:chExt cx="7781575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1725" y="0"/>
                                    <a:ext cx="77815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1729" y="0"/>
                                    <a:ext cx="7781550" cy="7560000"/>
                                    <a:chOff x="1455225" y="0"/>
                                    <a:chExt cx="7781550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5225" y="0"/>
                                      <a:ext cx="778155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5228" y="0"/>
                                      <a:ext cx="7781544" cy="7560000"/>
                                      <a:chOff x="0" y="0"/>
                                      <a:chExt cx="7780020" cy="1006602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7780000" cy="1006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0" y="5036820"/>
                                        <a:ext cx="7772400" cy="5029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8E8D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7620" y="0"/>
                                        <a:ext cx="7772400" cy="5029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579120" y="571500"/>
                                        <a:ext cx="6629400" cy="8915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7620" y="845820"/>
                                        <a:ext cx="2013549" cy="1396538"/>
                                        <a:chOff x="0" y="0"/>
                                        <a:chExt cx="928687" cy="643890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0" y="53341"/>
                                          <a:ext cx="875347" cy="53721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0" y="160021"/>
                                          <a:ext cx="768667" cy="3238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23850" w="768667">
                                              <a:moveTo>
                                                <a:pt x="768668" y="161925"/>
                                              </a:moveTo>
                                              <a:cubicBezTo>
                                                <a:pt x="768668" y="72390"/>
                                                <a:pt x="696278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3850"/>
                                              </a:lnTo>
                                              <a:lnTo>
                                                <a:pt x="606743" y="323850"/>
                                              </a:lnTo>
                                              <a:cubicBezTo>
                                                <a:pt x="695325" y="323850"/>
                                                <a:pt x="768668" y="251460"/>
                                                <a:pt x="768668" y="1619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0" y="0"/>
                                          <a:ext cx="928687" cy="64389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1" name="Shape 21"/>
                                      <wps:spPr>
                                        <a:xfrm>
                                          <a:off x="0" y="106681"/>
                                          <a:ext cx="822007" cy="4305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0530" w="822007">
                                              <a:moveTo>
                                                <a:pt x="822008" y="215265"/>
                                              </a:moveTo>
                                              <a:cubicBezTo>
                                                <a:pt x="822008" y="96203"/>
                                                <a:pt x="72485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696278" y="53340"/>
                                                <a:pt x="768668" y="125730"/>
                                                <a:pt x="768668" y="215265"/>
                                              </a:cubicBezTo>
                                              <a:cubicBezTo>
                                                <a:pt x="768668" y="304800"/>
                                                <a:pt x="696278" y="377190"/>
                                                <a:pt x="606743" y="377190"/>
                                              </a:cubicBezTo>
                                              <a:lnTo>
                                                <a:pt x="0" y="377190"/>
                                              </a:lnTo>
                                              <a:lnTo>
                                                <a:pt x="0" y="430530"/>
                                              </a:lnTo>
                                              <a:lnTo>
                                                <a:pt x="606743" y="430530"/>
                                              </a:lnTo>
                                              <a:cubicBezTo>
                                                <a:pt x="724853" y="430530"/>
                                                <a:pt x="822008" y="334328"/>
                                                <a:pt x="822008" y="21526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-2514596</wp:posOffset>
                </wp:positionV>
                <wp:extent cx="7783200" cy="9651600"/>
                <wp:effectExtent b="0" l="0" r="0" t="0"/>
                <wp:wrapNone/>
                <wp:docPr id="21082040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5th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xx/10/2024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9550" cy="514350"/>
              <wp:effectExtent b="0" l="0" r="0" t="0"/>
              <wp:wrapNone/>
              <wp:docPr id="2108204046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9550" cy="514350"/>
              <wp:effectExtent b="0" l="0" r="0" t="0"/>
              <wp:wrapNone/>
              <wp:docPr id="21082040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Fuvz5sar7jGWQkJx6FTQVC0gw==">CgMxLjAyDmgubGI0ZXF3ODJ3bDdxMg5oLnZ0aTQ5cmJvbG9rZjgAciExQVpvUzlnbF9mUGZDVjhEc3ZrTVNtNWlBU0tnb3hxemo=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