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E2B6E"/>
          <w:sz w:val="48"/>
          <w:szCs w:val="48"/>
        </w:rPr>
        <w:t xml:space="preserve">the automated migration platform</w:t>
      </w:r>
    </w:p>
    <w:p>
      <w:pPr>
        <w:spacing w:after="40" w:before="0"/>
        <w:jc w:val="center"/>
      </w:pPr>
      <w:r>
        <w:rPr>
          <w:rFonts w:ascii="Arial" w:cs="Arial" w:eastAsia="Arial" w:hAnsi="Arial"/>
          <w:i/>
          <w:iCs/>
          <w:color w:val="534AB7"/>
          <w:sz w:val="26"/>
          <w:szCs w:val="26"/>
        </w:rPr>
        <w:t xml:space="preserve">Automated Migration Platform: QlikView → Microsoft Power BI / Fabric</w:t>
      </w:r>
    </w:p>
    <w:p>
      <w:pPr>
        <w:spacing w:after="600" w:before="0"/>
        <w:jc w:val="center"/>
      </w:pPr>
      <w:r>
        <w:rPr>
          <w:rFonts w:ascii="Arial" w:cs="Arial" w:eastAsia="Arial" w:hAnsi="Arial"/>
          <w:color w:val="888888"/>
          <w:sz w:val="22"/>
          <w:szCs w:val="22"/>
        </w:rPr>
        <w:t xml:space="preserve">Literature Review · Algorithmic Complexity · Migration Effort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7706" w:sz="2"/>
              <w:left w:val="single" w:color="D97706" w:sz="2"/>
              <w:bottom w:val="single" w:color="D97706" w:sz="2"/>
              <w:right w:val="single" w:color="D97706" w:sz="2"/>
            </w:tcBorders>
            <w:shd w:fill="FFFBEB" w:val="clear"/>
            <w:tcMar>
              <w:top w:type="dxa" w:w="120"/>
              <w:left w:type="dxa" w:w="200"/>
              <w:bottom w:type="dxa" w:w="120"/>
              <w:right w:type="dxa" w:w="200"/>
            </w:tcMar>
          </w:tcPr>
          <w:p>
            <w:pPr>
              <w:spacing w:after="60" w:before="0"/>
              <w:jc w:val="center"/>
            </w:pPr>
            <w:r>
              <w:rPr>
                <w:rFonts w:ascii="Arial" w:cs="Arial" w:eastAsia="Arial" w:hAnsi="Arial"/>
                <w:b/>
                <w:bCs/>
                <w:color w:val="B45309"/>
                <w:sz w:val="24"/>
                <w:szCs w:val="24"/>
              </w:rPr>
              <w:t xml:space="preserve">⚠️  DOCUMENT IN PROGRESS</w:t>
            </w:r>
          </w:p>
          <w:p>
            <w:pPr>
              <w:spacing w:after="0" w:before="0"/>
              <w:jc w:val="center"/>
            </w:pPr>
            <w:r>
              <w:rPr>
                <w:rFonts w:ascii="Arial" w:cs="Arial" w:eastAsia="Arial" w:hAnsi="Arial"/>
                <w:i/>
                <w:iCs/>
                <w:color w:val="92400E"/>
                <w:sz w:val="20"/>
                <w:szCs w:val="20"/>
              </w:rPr>
              <w:t xml:space="preserve">This document is a working draft submitted for advisor review. Content, numbering, and formatting are subject to change. Sections marked are pending integration into the full capstone report.</w:t>
            </w:r>
          </w:p>
        </w:tc>
      </w:tr>
    </w:tbl>
    <w:p>
      <w:pPr>
        <w:spacing w:after="40" w:before="40"/>
      </w:pPr>
      <w:r>
        <w:t xml:space="preserve"/>
      </w:r>
    </w:p>
    <w:p>
      <w:pPr>
        <w:spacing w:after="40" w:before="40"/>
      </w:pPr>
      <w:r>
        <w:t xml:space="preserve"/>
      </w:r>
    </w:p>
    <w:p>
      <w:pPr>
        <w:pStyle w:val="Heading1"/>
        <w:spacing w:after="180" w:before="400"/>
      </w:pPr>
      <w:r>
        <w:rPr>
          <w:rFonts w:ascii="Arial" w:cs="Arial" w:eastAsia="Arial" w:hAnsi="Arial"/>
          <w:b/>
          <w:bCs/>
          <w:color w:val="2E2B6E"/>
          <w:sz w:val="32"/>
          <w:szCs w:val="32"/>
        </w:rPr>
        <w:t xml:space="preserve">1.  Introduction</w:t>
      </w:r>
    </w:p>
    <w:p>
      <w:pPr>
        <w:spacing w:after="120" w:before="60"/>
      </w:pPr>
      <w:r>
        <w:rPr>
          <w:rFonts w:ascii="Arial" w:cs="Arial" w:eastAsia="Arial" w:hAnsi="Arial"/>
          <w:sz w:val="22"/>
          <w:szCs w:val="22"/>
        </w:rPr>
        <w:t xml:space="preserve">Many organisations that built their analytics infrastructure on QlikView during the 2010s are now evaluating a move to Microsoft Power BI. The two platforms differ substantially: QlikView uses an associative data model and a proprietary load script, while Power BI is built on a tabular semantic model with Power Query M for data transformation and DAX for calculations. Translating a report from one platform to the other is not a mechanical conversion — it requires rethinking the data model, rewriting every script and expression, and reconstructing the visual layout from scratch.</w:t>
      </w:r>
    </w:p>
    <w:p>
      <w:pPr>
        <w:spacing w:after="40" w:before="40"/>
      </w:pPr>
      <w:r>
        <w:t xml:space="preserve"/>
      </w:r>
    </w:p>
    <w:p>
      <w:pPr>
        <w:spacing w:after="120" w:before="60"/>
      </w:pPr>
      <w:r>
        <w:rPr>
          <w:rFonts w:ascii="Arial" w:cs="Arial" w:eastAsia="Arial" w:hAnsi="Arial"/>
          <w:sz w:val="22"/>
          <w:szCs w:val="22"/>
        </w:rPr>
        <w:t xml:space="preserve">Doing this manually is slow and expensive. A single medium-complexity report can take a developer three to five days. For organisations with dozens or hundreds of reports, the total effort quickly becomes a multi-week project that competes with other priorities.</w:t>
      </w:r>
    </w:p>
    <w:p>
      <w:pPr>
        <w:spacing w:after="40" w:before="40"/>
      </w:pPr>
      <w:r>
        <w:t xml:space="preserve"/>
      </w:r>
    </w:p>
    <w:p>
      <w:pPr>
        <w:spacing w:after="120" w:before="60"/>
      </w:pPr>
      <w:r>
        <w:rPr>
          <w:rFonts w:ascii="Arial" w:cs="Arial" w:eastAsia="Arial" w:hAnsi="Arial"/>
          <w:sz w:val="22"/>
          <w:szCs w:val="22"/>
        </w:rPr>
        <w:t xml:space="preserve">This work describes an automated migration platform that performs the full process — metadata extraction, script translation, expression translation, and visual export — through a seven-stage pipeline combining GUI automation, XML parsing, large language models, and Retrieval-Augmented Generation. The goal is to reduce per-report migration time from days to minutes while keeping a human in the loop only at the final reconstruction step.</w:t>
      </w:r>
    </w:p>
    <w:p>
      <w:pPr>
        <w:spacing w:after="40" w:before="40"/>
      </w:pPr>
      <w:r>
        <w:t xml:space="preserve"/>
      </w:r>
    </w:p>
    <w:p>
      <w:pPr>
        <w:spacing w:after="120" w:before="60"/>
      </w:pPr>
      <w:r>
        <w:rPr>
          <w:rFonts w:ascii="Arial" w:cs="Arial" w:eastAsia="Arial" w:hAnsi="Arial"/>
          <w:b/>
          <w:bCs/>
          <w:sz w:val="22"/>
          <w:szCs w:val="22"/>
        </w:rPr>
        <w:t xml:space="preserve">Document structure.</w:t>
      </w:r>
      <w:r>
        <w:rPr>
          <w:rFonts w:ascii="Arial" w:cs="Arial" w:eastAsia="Arial" w:hAnsi="Arial"/>
          <w:sz w:val="22"/>
          <w:szCs w:val="22"/>
        </w:rPr>
        <w:t xml:space="preserve">  Section 2 reviews the relevant literature. Section 3 describes the platform and its pipeline. Section 4 builds formal effort models for both the manual and automated processes and compares them. Section 5 validates the estimates against concrete report profiles.</w:t>
      </w:r>
    </w:p>
    <w:p>
      <w:pPr>
        <w:spacing w:after="40" w:before="40"/>
      </w:pPr>
      <w:r>
        <w:t xml:space="preserve"/>
      </w:r>
    </w:p>
    <w:p>
      <w:pPr>
        <w:pStyle w:val="Heading1"/>
        <w:spacing w:after="180" w:before="400"/>
      </w:pPr>
      <w:r>
        <w:rPr>
          <w:rFonts w:ascii="Arial" w:cs="Arial" w:eastAsia="Arial" w:hAnsi="Arial"/>
          <w:b/>
          <w:bCs/>
          <w:color w:val="2E2B6E"/>
          <w:sz w:val="32"/>
          <w:szCs w:val="32"/>
        </w:rPr>
        <w:t xml:space="preserve">2.  Literature Review</w:t>
      </w:r>
    </w:p>
    <w:p>
      <w:pPr>
        <w:spacing w:after="120" w:before="60"/>
      </w:pPr>
      <w:r>
        <w:rPr>
          <w:rFonts w:ascii="Arial" w:cs="Arial" w:eastAsia="Arial" w:hAnsi="Arial"/>
          <w:sz w:val="22"/>
          <w:szCs w:val="22"/>
        </w:rPr>
        <w:t xml:space="preserve">This chapter provides the theoretical and empirical foundations for the platform's design decisions. Section 2.1 characterises the architectural differences between QlikView and Power BI that motivate the need for a structured migration pipeline. Section 2.2 surveys the principal technical and organisational challenges of BI platform migration. Section 2.3 reviews the application of Retrieval-Augmented Generation (RAG) to domain-specific code translation, justifying the approach adopted in Stage 4. Section 2.4 examines GUI automation techniques for legacy systems without a programmatic API, underpinning Stage 1.</w:t>
      </w:r>
    </w:p>
    <w:p>
      <w:pPr>
        <w:spacing w:after="40" w:before="40"/>
      </w:pPr>
      <w:r>
        <w:t xml:space="preserve"/>
      </w:r>
    </w:p>
    <w:p>
      <w:pPr>
        <w:pStyle w:val="Heading2"/>
        <w:spacing w:after="140" w:before="280"/>
      </w:pPr>
      <w:r>
        <w:rPr>
          <w:rFonts w:ascii="Arial" w:cs="Arial" w:eastAsia="Arial" w:hAnsi="Arial"/>
          <w:b/>
          <w:bCs/>
          <w:color w:val="3C3489"/>
          <w:sz w:val="28"/>
          <w:szCs w:val="28"/>
        </w:rPr>
        <w:t xml:space="preserve">2.1  QlikView and Microsoft Power BI: A Platform Comparison</w:t>
      </w:r>
    </w:p>
    <w:p>
      <w:pPr>
        <w:spacing w:after="120" w:before="60"/>
      </w:pPr>
      <w:r>
        <w:rPr>
          <w:rFonts w:ascii="Arial" w:cs="Arial" w:eastAsia="Arial" w:hAnsi="Arial"/>
          <w:sz w:val="22"/>
          <w:szCs w:val="22"/>
        </w:rPr>
        <w:t xml:space="preserve">Business Intelligence platforms differ not only in user interface but in fundamental architectural paradigms that determine how data is modelled, transformed, and queried. Understanding these differences is a prerequisite for assessing the effort and risk involved in platform migration. This section compares QlikView and Microsoft Power BI across six key dimensions: data modelling, scripting, expression languages, storage, collaboration, and cloud integration.</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2.1.1  Data Model Architecture</w:t>
      </w:r>
    </w:p>
    <w:p>
      <w:pPr>
        <w:spacing w:after="120" w:before="60"/>
      </w:pPr>
      <w:r>
        <w:rPr>
          <w:rFonts w:ascii="Arial" w:cs="Arial" w:eastAsia="Arial" w:hAnsi="Arial"/>
          <w:sz w:val="22"/>
          <w:szCs w:val="22"/>
        </w:rPr>
        <w:t xml:space="preserve">QlikView's defining characteristic is its </w:t>
      </w:r>
      <w:r>
        <w:rPr>
          <w:rFonts w:ascii="Arial" w:cs="Arial" w:eastAsia="Arial" w:hAnsi="Arial"/>
          <w:b/>
          <w:bCs/>
          <w:sz w:val="22"/>
          <w:szCs w:val="22"/>
        </w:rPr>
        <w:t xml:space="preserve">associative engine</w:t>
      </w:r>
      <w:r>
        <w:rPr>
          <w:rFonts w:ascii="Arial" w:cs="Arial" w:eastAsia="Arial" w:hAnsi="Arial"/>
          <w:sz w:val="22"/>
          <w:szCs w:val="22"/>
        </w:rPr>
        <w:t xml:space="preserve">, which automatically links all loaded tables through fields with matching names, enabling users to explore data relationships without predefined drill paths or explicit join declarations </w:t>
      </w:r>
      <w:r>
        <w:rPr>
          <w:rFonts w:ascii="Arial" w:cs="Arial" w:eastAsia="Arial" w:hAnsi="Arial"/>
          <w:color w:val="534AB7"/>
          <w:sz w:val="22"/>
          <w:szCs w:val="22"/>
        </w:rPr>
        <w:t xml:space="preserve">(University of Venice, n.d.; Qlik, 2024a)</w:t>
      </w:r>
      <w:r>
        <w:rPr>
          <w:rFonts w:ascii="Arial" w:cs="Arial" w:eastAsia="Arial" w:hAnsi="Arial"/>
          <w:sz w:val="22"/>
          <w:szCs w:val="22"/>
        </w:rPr>
        <w:t xml:space="preserve">. Power BI relies on a </w:t>
      </w:r>
      <w:r>
        <w:rPr>
          <w:rFonts w:ascii="Arial" w:cs="Arial" w:eastAsia="Arial" w:hAnsi="Arial"/>
          <w:b/>
          <w:bCs/>
          <w:sz w:val="22"/>
          <w:szCs w:val="22"/>
        </w:rPr>
        <w:t xml:space="preserve">tabular semantic model</w:t>
      </w:r>
      <w:r>
        <w:rPr>
          <w:rFonts w:ascii="Arial" w:cs="Arial" w:eastAsia="Arial" w:hAnsi="Arial"/>
          <w:sz w:val="22"/>
          <w:szCs w:val="22"/>
        </w:rPr>
        <w:t xml:space="preserve"> based on the Vertipaq in-memory engine, expecting well-defined one-to-many relationships, explicit cardinality, and a star-schema design </w:t>
      </w:r>
      <w:r>
        <w:rPr>
          <w:rFonts w:ascii="Arial" w:cs="Arial" w:eastAsia="Arial" w:hAnsi="Arial"/>
          <w:color w:val="534AB7"/>
          <w:sz w:val="22"/>
          <w:szCs w:val="22"/>
        </w:rPr>
        <w:t xml:space="preserve">(Microsoft Learn, 2024a)</w:t>
      </w:r>
      <w:r>
        <w:rPr>
          <w:rFonts w:ascii="Arial" w:cs="Arial" w:eastAsia="Arial" w:hAnsi="Arial"/>
          <w:sz w:val="22"/>
          <w:szCs w:val="22"/>
        </w:rPr>
        <w:t xml:space="preserve">. As Leaplytics (2023) notes, this paradigm shift is often the dominant effort driver in migration projects, requiring normalisation, fact/dimension separation, and sometimes bridge tables to replicate Qlik-style associations.</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2.1.2  Scripting and Transformation Languages</w:t>
      </w:r>
    </w:p>
    <w:p>
      <w:pPr>
        <w:spacing w:after="120" w:before="60"/>
      </w:pPr>
      <w:r>
        <w:rPr>
          <w:rFonts w:ascii="Arial" w:cs="Arial" w:eastAsia="Arial" w:hAnsi="Arial"/>
          <w:sz w:val="22"/>
          <w:szCs w:val="22"/>
        </w:rPr>
        <w:t xml:space="preserve">QlikView Script (QVS) is an </w:t>
      </w:r>
      <w:r>
        <w:rPr>
          <w:rFonts w:ascii="Arial" w:cs="Arial" w:eastAsia="Arial" w:hAnsi="Arial"/>
          <w:b/>
          <w:bCs/>
          <w:sz w:val="22"/>
          <w:szCs w:val="22"/>
        </w:rPr>
        <w:t xml:space="preserve">imperative, sequentially executed</w:t>
      </w:r>
      <w:r>
        <w:rPr>
          <w:rFonts w:ascii="Arial" w:cs="Arial" w:eastAsia="Arial" w:hAnsi="Arial"/>
          <w:sz w:val="22"/>
          <w:szCs w:val="22"/>
        </w:rPr>
        <w:t xml:space="preserve"> language used to load, transform, and define the document's data model, supporting SQL-like LOAD statements, JOIN/CONCATENATE operations, and variable substitution </w:t>
      </w:r>
      <w:r>
        <w:rPr>
          <w:rFonts w:ascii="Arial" w:cs="Arial" w:eastAsia="Arial" w:hAnsi="Arial"/>
          <w:color w:val="534AB7"/>
          <w:sz w:val="22"/>
          <w:szCs w:val="22"/>
        </w:rPr>
        <w:t xml:space="preserve">(Qlik, 2024b)</w:t>
      </w:r>
      <w:r>
        <w:rPr>
          <w:rFonts w:ascii="Arial" w:cs="Arial" w:eastAsia="Arial" w:hAnsi="Arial"/>
          <w:sz w:val="22"/>
          <w:szCs w:val="22"/>
        </w:rPr>
        <w:t xml:space="preserve">. Power BI's equivalent is </w:t>
      </w:r>
      <w:r>
        <w:rPr>
          <w:rFonts w:ascii="Arial" w:cs="Arial" w:eastAsia="Arial" w:hAnsi="Arial"/>
          <w:b/>
          <w:bCs/>
          <w:sz w:val="22"/>
          <w:szCs w:val="22"/>
        </w:rPr>
        <w:t xml:space="preserve">Power Query M</w:t>
      </w:r>
      <w:r>
        <w:rPr>
          <w:rFonts w:ascii="Arial" w:cs="Arial" w:eastAsia="Arial" w:hAnsi="Arial"/>
          <w:sz w:val="22"/>
          <w:szCs w:val="22"/>
        </w:rPr>
        <w:t xml:space="preserve">, a </w:t>
      </w:r>
      <w:r>
        <w:rPr>
          <w:rFonts w:ascii="Arial" w:cs="Arial" w:eastAsia="Arial" w:hAnsi="Arial"/>
          <w:b/>
          <w:bCs/>
          <w:sz w:val="22"/>
          <w:szCs w:val="22"/>
        </w:rPr>
        <w:t xml:space="preserve">functional, case-sensitive</w:t>
      </w:r>
      <w:r>
        <w:rPr>
          <w:rFonts w:ascii="Arial" w:cs="Arial" w:eastAsia="Arial" w:hAnsi="Arial"/>
          <w:sz w:val="22"/>
          <w:szCs w:val="22"/>
        </w:rPr>
        <w:t xml:space="preserve"> language designed for composable, step-by-step data transformation using let/in expressions and lazy evaluation — a paradigm shift that requires reconceptualising imperative scripts as declarative transformation pipelines </w:t>
      </w:r>
      <w:r>
        <w:rPr>
          <w:rFonts w:ascii="Arial" w:cs="Arial" w:eastAsia="Arial" w:hAnsi="Arial"/>
          <w:color w:val="534AB7"/>
          <w:sz w:val="22"/>
          <w:szCs w:val="22"/>
        </w:rPr>
        <w:t xml:space="preserve">(Microsoft Learn, 2025a)</w:t>
      </w:r>
      <w:r>
        <w:rPr>
          <w:rFonts w:ascii="Arial" w:cs="Arial" w:eastAsia="Arial" w:hAnsi="Arial"/>
          <w:sz w:val="22"/>
          <w:szCs w:val="22"/>
        </w:rPr>
        <w:t xml:space="preserve">.</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2.1.3  Expression and Calculation Languages</w:t>
      </w:r>
    </w:p>
    <w:p>
      <w:pPr>
        <w:spacing w:after="120" w:before="60"/>
      </w:pPr>
      <w:r>
        <w:rPr>
          <w:rFonts w:ascii="Arial" w:cs="Arial" w:eastAsia="Arial" w:hAnsi="Arial"/>
          <w:sz w:val="22"/>
          <w:szCs w:val="22"/>
        </w:rPr>
        <w:t xml:space="preserve">QlikView expressions use </w:t>
      </w:r>
      <w:r>
        <w:rPr>
          <w:rFonts w:ascii="Arial" w:cs="Arial" w:eastAsia="Arial" w:hAnsi="Arial"/>
          <w:b/>
          <w:bCs/>
          <w:sz w:val="22"/>
          <w:szCs w:val="22"/>
        </w:rPr>
        <w:t xml:space="preserve">Set Analysis</w:t>
      </w:r>
      <w:r>
        <w:rPr>
          <w:rFonts w:ascii="Arial" w:cs="Arial" w:eastAsia="Arial" w:hAnsi="Arial"/>
          <w:sz w:val="22"/>
          <w:szCs w:val="22"/>
        </w:rPr>
        <w:t xml:space="preserve"> — a compact syntax for defining set-based selections over the associative model (e.g., </w:t>
      </w:r>
      <w:r>
        <w:rPr>
          <w:rFonts w:ascii="Arial" w:cs="Arial" w:eastAsia="Arial" w:hAnsi="Arial"/>
          <w:sz w:val="22"/>
          <w:szCs w:val="22"/>
        </w:rPr>
      </w:r>
      <w:r>
        <w:rPr>
          <w:rFonts w:ascii="Arial" w:cs="Arial" w:eastAsia="Arial" w:hAnsi="Arial"/>
          <w:sz w:val="22"/>
          <w:szCs w:val="22"/>
        </w:rPr>
        <w:t xml:space="preserve">). Set Analysis is tightly coupled to QlikView's selection state, making it highly expressive but difficult to replicate in a tabular engine. Power BI uses </w:t>
      </w:r>
      <w:r>
        <w:rPr>
          <w:rFonts w:ascii="Arial" w:cs="Arial" w:eastAsia="Arial" w:hAnsi="Arial"/>
          <w:b/>
          <w:bCs/>
          <w:sz w:val="22"/>
          <w:szCs w:val="22"/>
        </w:rPr>
        <w:t xml:space="preserve">DAX (Data Analysis Expressions)</w:t>
      </w:r>
      <w:r>
        <w:rPr>
          <w:rFonts w:ascii="Arial" w:cs="Arial" w:eastAsia="Arial" w:hAnsi="Arial"/>
          <w:sz w:val="22"/>
          <w:szCs w:val="22"/>
        </w:rPr>
        <w:t xml:space="preserve">, which evaluates measures through explicit filter context and row context propagation. The translation between Set Analysis and DAX is non-trivial: a single Set Analysis expression may require a CALCULATE with multiple FILTER modifiers and context transitions in DAX.</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2.1.4  Summary Comparison</w:t>
      </w:r>
    </w:p>
    <w:p>
      <w:pPr>
        <w:spacing w:after="120" w:before="60"/>
      </w:pPr>
      <w:r>
        <w:rPr>
          <w:rFonts w:ascii="Arial" w:cs="Arial" w:eastAsia="Arial" w:hAnsi="Arial"/>
          <w:b/>
          <w:bCs/>
          <w:sz w:val="22"/>
          <w:szCs w:val="22"/>
        </w:rPr>
        <w:t xml:space="preserve">Table 2.1.</w:t>
      </w:r>
      <w:r>
        <w:rPr>
          <w:rFonts w:ascii="Arial" w:cs="Arial" w:eastAsia="Arial" w:hAnsi="Arial"/>
          <w:sz w:val="22"/>
          <w:szCs w:val="22"/>
        </w:rPr>
        <w:t xml:space="preserve">  Comparative overview of QlikView and Microsoft Power BI across key architectural dimensions.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3413"/>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QlikView</w:t>
            </w:r>
          </w:p>
        </w:tc>
        <w:tc>
          <w:tcPr>
            <w:tcW w:type="dxa" w:w="3413"/>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Microsoft Power BI</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bCs/>
                <w:color w:val="3C3489"/>
                <w:sz w:val="20"/>
                <w:szCs w:val="20"/>
              </w:rPr>
              <w:t xml:space="preserve">Data model</w:t>
            </w:r>
          </w:p>
        </w:tc>
        <w:tc>
          <w:tcPr>
            <w:tcW w:type="dxa" w:w="3413"/>
            <w:tcBorders>
              <w:top w:val="single" w:color="CCCCCC" w:sz="1"/>
              <w:left w:val="single" w:color="CCCCCC" w:sz="1"/>
              <w:bottom w:val="single" w:color="CCCCCC" w:sz="1"/>
              <w:right w:val="single" w:color="CCCCCC" w:sz="1"/>
            </w:tcBorders>
            <w:shd w:fill="F9F9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Associative engine: all fields relate by name, no explicit joins required</w:t>
            </w:r>
          </w:p>
        </w:tc>
        <w:tc>
          <w:tcPr>
            <w:tcW w:type="dxa" w:w="3413"/>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Tabular semantic model; star-schema design recommended; explicit one-to-many relationships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C3489"/>
                <w:sz w:val="20"/>
                <w:szCs w:val="20"/>
              </w:rPr>
              <w:t xml:space="preserve">Design implication</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Flexible cross-filter exploration without fixed drill paths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Governed relationships, filter propagation, reusable semantic layers</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bCs/>
                <w:color w:val="3C3489"/>
                <w:sz w:val="20"/>
                <w:szCs w:val="20"/>
              </w:rPr>
              <w:t xml:space="preserve">Scripting language</w:t>
            </w:r>
          </w:p>
        </w:tc>
        <w:tc>
          <w:tcPr>
            <w:tcW w:type="dxa" w:w="3413"/>
            <w:tcBorders>
              <w:top w:val="single" w:color="CCCCCC" w:sz="1"/>
              <w:left w:val="single" w:color="CCCCCC" w:sz="1"/>
              <w:bottom w:val="single" w:color="CCCCCC" w:sz="1"/>
              <w:right w:val="single" w:color="CCCCCC" w:sz="1"/>
            </w:tcBorders>
            <w:shd w:fill="F9F9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QlikView Script (QVS) — imperative, sequentially executed</w:t>
            </w:r>
          </w:p>
        </w:tc>
        <w:tc>
          <w:tcPr>
            <w:tcW w:type="dxa" w:w="3413"/>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Power Query M — functional, case-sensitive, composable transformation steps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C3489"/>
                <w:sz w:val="20"/>
                <w:szCs w:val="20"/>
              </w:rPr>
              <w:t xml:space="preserve">Primary scripting role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Load, transform, and control the document data model</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Data ingestion, shaping, and mash-up from multiple sources before model load</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bCs/>
                <w:color w:val="3C3489"/>
                <w:sz w:val="20"/>
                <w:szCs w:val="20"/>
              </w:rPr>
              <w:t xml:space="preserve">Expression language</w:t>
            </w:r>
          </w:p>
        </w:tc>
        <w:tc>
          <w:tcPr>
            <w:tcW w:type="dxa" w:w="3413"/>
            <w:tcBorders>
              <w:top w:val="single" w:color="CCCCCC" w:sz="1"/>
              <w:left w:val="single" w:color="CCCCCC" w:sz="1"/>
              <w:bottom w:val="single" w:color="CCCCCC" w:sz="1"/>
              <w:right w:val="single" w:color="CCCCCC" w:sz="1"/>
            </w:tcBorders>
            <w:shd w:fill="F9F9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Set Analysis — compact set-based filtering over selections</w:t>
            </w:r>
          </w:p>
        </w:tc>
        <w:tc>
          <w:tcPr>
            <w:tcW w:type="dxa" w:w="3413"/>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DAX — explicit measure and row/filter context evaluation over a tabular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C3489"/>
                <w:sz w:val="20"/>
                <w:szCs w:val="20"/>
              </w:rPr>
              <w:t xml:space="preserve">Storage format</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Binary .qvw document — metadata embedded in binary app file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PBIX for desktop authoring; TMDL for text-serialised, source-controllable models</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bCs/>
                <w:color w:val="3C3489"/>
                <w:sz w:val="20"/>
                <w:szCs w:val="20"/>
              </w:rPr>
              <w:t xml:space="preserve">Source control</w:t>
            </w:r>
          </w:p>
        </w:tc>
        <w:tc>
          <w:tcPr>
            <w:tcW w:type="dxa" w:w="3413"/>
            <w:tcBorders>
              <w:top w:val="single" w:color="CCCCCC" w:sz="1"/>
              <w:left w:val="single" w:color="CCCCCC" w:sz="1"/>
              <w:bottom w:val="single" w:color="CCCCCC" w:sz="1"/>
              <w:right w:val="single" w:color="CCCCCC" w:sz="1"/>
            </w:tcBorders>
            <w:shd w:fill="F9F9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Limited — binary format makes diffing and versioning impractical</w:t>
            </w:r>
          </w:p>
        </w:tc>
        <w:tc>
          <w:tcPr>
            <w:tcW w:type="dxa" w:w="3413"/>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Strong with TMDL: model metadata serialised as plain text, Git-friendly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C3489"/>
                <w:sz w:val="20"/>
                <w:szCs w:val="20"/>
              </w:rPr>
              <w:t xml:space="preserve">Collaboration model</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Document/app-centric sharing with governed reloads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Workspace-centric: semantic models, reports, and apps published through Power BI Service</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bCs/>
                <w:color w:val="3C3489"/>
                <w:sz w:val="20"/>
                <w:szCs w:val="20"/>
              </w:rPr>
              <w:t xml:space="preserve">Cloud integration</w:t>
            </w:r>
          </w:p>
        </w:tc>
        <w:tc>
          <w:tcPr>
            <w:tcW w:type="dxa" w:w="3413"/>
            <w:tcBorders>
              <w:top w:val="single" w:color="CCCCCC" w:sz="1"/>
              <w:left w:val="single" w:color="CCCCCC" w:sz="1"/>
              <w:bottom w:val="single" w:color="CCCCCC" w:sz="1"/>
              <w:right w:val="single" w:color="CCCCCC" w:sz="1"/>
            </w:tcBorders>
            <w:shd w:fill="F9F9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Limited in classic QlikView; cloud workflows belong to Qlik Sense/Cloud</w:t>
            </w:r>
          </w:p>
        </w:tc>
        <w:tc>
          <w:tcPr>
            <w:tcW w:type="dxa" w:w="3413"/>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Deep integration with Power BI Service, Microsoft Fabric, Azure, and Microsoft 365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C3489"/>
                <w:sz w:val="20"/>
                <w:szCs w:val="20"/>
              </w:rPr>
              <w:t xml:space="preserve">Licensing model</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Server + named/concurrent CAL licences — high cost at scale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Per-user Pro/Premium + capacity — better marginal cost for broad access</w:t>
            </w:r>
          </w:p>
        </w:tc>
      </w:tr>
    </w:tbl>
    <w:p>
      <w:pPr>
        <w:spacing w:after="40" w:before="40"/>
      </w:pPr>
      <w:r>
        <w:t xml:space="preserve"/>
      </w:r>
    </w:p>
    <w:p>
      <w:pPr>
        <w:spacing w:after="120" w:before="60"/>
      </w:pPr>
      <w:r>
        <w:rPr>
          <w:rFonts w:ascii="Arial" w:cs="Arial" w:eastAsia="Arial" w:hAnsi="Arial"/>
          <w:b/>
          <w:bCs/>
          <w:sz w:val="22"/>
          <w:szCs w:val="22"/>
        </w:rPr>
        <w:t xml:space="preserve">Sources:</w:t>
      </w:r>
      <w:r>
        <w:rPr>
          <w:rFonts w:ascii="Arial" w:cs="Arial" w:eastAsia="Arial" w:hAnsi="Arial"/>
          <w:sz w:val="22"/>
          <w:szCs w:val="22"/>
        </w:rPr>
        <w:t xml:space="preserve"> Qlik (2024a, 2024b); Microsoft Learn (2025a, 2024a, 2024b); University of Venice (n.d.); Leaplytics (2023).</w:t>
      </w:r>
    </w:p>
    <w:p>
      <w:pPr>
        <w:spacing w:after="40" w:before="40"/>
      </w:pPr>
      <w:r>
        <w:t xml:space="preserve"/>
      </w:r>
    </w:p>
    <w:p>
      <w:pPr>
        <w:pStyle w:val="Heading2"/>
        <w:spacing w:after="140" w:before="280"/>
      </w:pPr>
      <w:r>
        <w:rPr>
          <w:rFonts w:ascii="Arial" w:cs="Arial" w:eastAsia="Arial" w:hAnsi="Arial"/>
          <w:b/>
          <w:bCs/>
          <w:color w:val="3C3489"/>
          <w:sz w:val="28"/>
          <w:szCs w:val="28"/>
        </w:rPr>
        <w:t xml:space="preserve">2.2  Challenges of BI Platform Migration</w:t>
      </w:r>
    </w:p>
    <w:p>
      <w:pPr>
        <w:spacing w:after="120" w:before="60"/>
      </w:pPr>
      <w:r>
        <w:rPr>
          <w:rFonts w:ascii="Arial" w:cs="Arial" w:eastAsia="Arial" w:hAnsi="Arial"/>
          <w:sz w:val="22"/>
          <w:szCs w:val="22"/>
        </w:rPr>
        <w:t xml:space="preserve">Migrating a Business Intelligence environment from QlikView to Power BI is less a conversion than a </w:t>
      </w:r>
      <w:r>
        <w:rPr>
          <w:rFonts w:ascii="Arial" w:cs="Arial" w:eastAsia="Arial" w:hAnsi="Arial"/>
          <w:i/>
          <w:iCs/>
          <w:sz w:val="22"/>
          <w:szCs w:val="22"/>
        </w:rPr>
        <w:t xml:space="preserve">redesign</w:t>
      </w:r>
      <w:r>
        <w:rPr>
          <w:rFonts w:ascii="Arial" w:cs="Arial" w:eastAsia="Arial" w:hAnsi="Arial"/>
          <w:sz w:val="22"/>
          <w:szCs w:val="22"/>
        </w:rPr>
        <w:t xml:space="preserve">: Qlik logic, associative data structures, and chart expressions must be re-expressed in Power BI's relational-tabular paradigm, and the equivalence of results must be validated against the original system. Industry practitioners consistently describe the process as high-touch and underestimated, with effort growing non-linearly with report complexity, script depth, and the number of custom expressions </w:t>
      </w:r>
      <w:r>
        <w:rPr>
          <w:rFonts w:ascii="Arial" w:cs="Arial" w:eastAsia="Arial" w:hAnsi="Arial"/>
          <w:color w:val="534AB7"/>
          <w:sz w:val="22"/>
          <w:szCs w:val="22"/>
        </w:rPr>
        <w:t xml:space="preserve">(Winwire, 2025; Leaplytics, 2023)</w:t>
      </w:r>
      <w:r>
        <w:rPr>
          <w:rFonts w:ascii="Arial" w:cs="Arial" w:eastAsia="Arial" w:hAnsi="Arial"/>
          <w:sz w:val="22"/>
          <w:szCs w:val="22"/>
        </w:rPr>
        <w:t xml:space="preserve">.</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2.2.1  Semantic Translation</w:t>
      </w:r>
    </w:p>
    <w:p>
      <w:pPr>
        <w:spacing w:after="120" w:before="60"/>
      </w:pPr>
      <w:r>
        <w:rPr>
          <w:rFonts w:ascii="Arial" w:cs="Arial" w:eastAsia="Arial" w:hAnsi="Arial"/>
          <w:sz w:val="22"/>
          <w:szCs w:val="22"/>
        </w:rPr>
        <w:t xml:space="preserve">The most technically demanding challenge is the semantic translation of business logic across incompatible language paradigms. QVS mixes ETL instructions, data-model control, and presentation logic in a single script, while Power BI distributes these concerns across M Query, the tabular model, and DAX. Preserving evaluation context, selection behaviour, and edge-case filtering semantics requires deep expertise in both platforms </w:t>
      </w:r>
      <w:r>
        <w:rPr>
          <w:rFonts w:ascii="Arial" w:cs="Arial" w:eastAsia="Arial" w:hAnsi="Arial"/>
          <w:color w:val="534AB7"/>
          <w:sz w:val="22"/>
          <w:szCs w:val="22"/>
        </w:rPr>
        <w:t xml:space="preserve">(Microsoft Learn, 2024b)</w:t>
      </w:r>
      <w:r>
        <w:rPr>
          <w:rFonts w:ascii="Arial" w:cs="Arial" w:eastAsia="Arial" w:hAnsi="Arial"/>
          <w:sz w:val="22"/>
          <w:szCs w:val="22"/>
        </w:rPr>
        <w:t xml:space="preserve">. Errors introduced at this stage propagate silently — a translated measure may produce the correct total on test data while failing on boundary conditions in production.</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2.2.2  Model Restructuring</w:t>
      </w:r>
    </w:p>
    <w:p>
      <w:pPr>
        <w:spacing w:after="120" w:before="60"/>
      </w:pPr>
      <w:r>
        <w:rPr>
          <w:rFonts w:ascii="Arial" w:cs="Arial" w:eastAsia="Arial" w:hAnsi="Arial"/>
          <w:sz w:val="22"/>
          <w:szCs w:val="22"/>
        </w:rPr>
        <w:t xml:space="preserve">Power BI's relationship engine expects deterministic filter propagation along well-defined one-to-many paths. QlikView's associative model frequently produces many-to-many relationships that Power BI resolves differently, creating ambiguity in filter context. Leaplytics (2023) identifies data-model restructuring as the dominant effort driver in most migration projects, often exceeding the effort required for visual reconstruction.</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2.2.3  Manual Effort and Scalability</w:t>
      </w:r>
    </w:p>
    <w:p>
      <w:pPr>
        <w:spacing w:after="120" w:before="60"/>
      </w:pPr>
      <w:r>
        <w:rPr>
          <w:rFonts w:ascii="Arial" w:cs="Arial" w:eastAsia="Arial" w:hAnsi="Arial"/>
          <w:sz w:val="22"/>
          <w:szCs w:val="22"/>
        </w:rPr>
        <w:t xml:space="preserve">Published migration guidance consistently describes Qlik-to-Power BI work as high-touch even when automation is used </w:t>
      </w:r>
      <w:r>
        <w:rPr>
          <w:rFonts w:ascii="Arial" w:cs="Arial" w:eastAsia="Arial" w:hAnsi="Arial"/>
          <w:color w:val="534AB7"/>
          <w:sz w:val="22"/>
          <w:szCs w:val="22"/>
        </w:rPr>
        <w:t xml:space="preserve">(Winwire, 2025; Multishoring, 2026)</w:t>
      </w:r>
      <w:r>
        <w:rPr>
          <w:rFonts w:ascii="Arial" w:cs="Arial" w:eastAsia="Arial" w:hAnsi="Arial"/>
          <w:sz w:val="22"/>
          <w:szCs w:val="22"/>
        </w:rPr>
        <w:t xml:space="preserve">. Microsoft's own documentation acknowledges high variance in individual report estimates: one report assessed at 50 consultant-days was ultimately completed in approximately 50 hours </w:t>
      </w:r>
      <w:r>
        <w:rPr>
          <w:rFonts w:ascii="Arial" w:cs="Arial" w:eastAsia="Arial" w:hAnsi="Arial"/>
          <w:color w:val="534AB7"/>
          <w:sz w:val="22"/>
          <w:szCs w:val="22"/>
        </w:rPr>
        <w:t xml:space="preserve">(Microsoft Learn, 2024c)</w:t>
      </w:r>
      <w:r>
        <w:rPr>
          <w:rFonts w:ascii="Arial" w:cs="Arial" w:eastAsia="Arial" w:hAnsi="Arial"/>
          <w:sz w:val="22"/>
          <w:szCs w:val="22"/>
        </w:rPr>
        <w:t xml:space="preserve">, indicating that hidden complexity in legacy QVS code is a significant source of estimation error. For portfolios of 50–200 reports, total migration timelines range from 6 to 10 weeks even with acceleration tooling (Multishoring, 2026).</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2.2.4  Automation with LLMs and RAG</w:t>
      </w:r>
    </w:p>
    <w:p>
      <w:pPr>
        <w:spacing w:after="120" w:before="60"/>
      </w:pPr>
      <w:r>
        <w:rPr>
          <w:rFonts w:ascii="Arial" w:cs="Arial" w:eastAsia="Arial" w:hAnsi="Arial"/>
          <w:sz w:val="22"/>
          <w:szCs w:val="22"/>
        </w:rPr>
        <w:t xml:space="preserve">LLMs can assist migration by drafting translation candidates and generating M Query or DAX scaffolds. However, without contextual grounding they generate plausible but semantically incorrect code — a critical risk for financial or operational measures </w:t>
      </w:r>
      <w:r>
        <w:rPr>
          <w:rFonts w:ascii="Arial" w:cs="Arial" w:eastAsia="Arial" w:hAnsi="Arial"/>
          <w:color w:val="534AB7"/>
          <w:sz w:val="22"/>
          <w:szCs w:val="22"/>
        </w:rPr>
        <w:t xml:space="preserve">(Gao et al., 2024)</w:t>
      </w:r>
      <w:r>
        <w:rPr>
          <w:rFonts w:ascii="Arial" w:cs="Arial" w:eastAsia="Arial" w:hAnsi="Arial"/>
          <w:sz w:val="22"/>
          <w:szCs w:val="22"/>
        </w:rPr>
        <w:t xml:space="preserve">. The practical pattern that emerges from the literature is: </w:t>
      </w:r>
      <w:r>
        <w:rPr>
          <w:rFonts w:ascii="Arial" w:cs="Arial" w:eastAsia="Arial" w:hAnsi="Arial"/>
          <w:i/>
          <w:iCs/>
          <w:sz w:val="22"/>
          <w:szCs w:val="22"/>
        </w:rPr>
        <w:t xml:space="preserve">"LLM for assisted conversion, RAG for grounding, humans for approval"</w:t>
      </w:r>
      <w:r>
        <w:rPr>
          <w:rFonts w:ascii="Arial" w:cs="Arial" w:eastAsia="Arial" w:hAnsi="Arial"/>
          <w:sz w:val="22"/>
          <w:szCs w:val="22"/>
        </w:rPr>
        <w:t xml:space="preserve">. RAG grounds the model in the organisation's own QVS scripts, report metadata, and KPI definitions, reducing hallucination and improving consistency with local business logic.</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2.2.5  Validation</w:t>
      </w:r>
    </w:p>
    <w:p>
      <w:pPr>
        <w:spacing w:after="120" w:before="60"/>
      </w:pPr>
      <w:r>
        <w:rPr>
          <w:rFonts w:ascii="Arial" w:cs="Arial" w:eastAsia="Arial" w:hAnsi="Arial"/>
          <w:sz w:val="22"/>
          <w:szCs w:val="22"/>
        </w:rPr>
        <w:t xml:space="preserve">Validation is essential because Power BI may reproduce the same KPI value through a different semantic path, and small relationship or filter-context differences can silently change totals. Strong validation combines data reconciliation, visual comparison, measure-by-measure testing, and exception-based checks for slicers and drill-down paths </w:t>
      </w:r>
      <w:r>
        <w:rPr>
          <w:rFonts w:ascii="Arial" w:cs="Arial" w:eastAsia="Arial" w:hAnsi="Arial"/>
          <w:color w:val="534AB7"/>
          <w:sz w:val="22"/>
          <w:szCs w:val="22"/>
        </w:rPr>
        <w:t xml:space="preserve">(Microsoft Learn, 2024b)</w:t>
      </w:r>
      <w:r>
        <w:rPr>
          <w:rFonts w:ascii="Arial" w:cs="Arial" w:eastAsia="Arial" w:hAnsi="Arial"/>
          <w:sz w:val="22"/>
          <w:szCs w:val="22"/>
        </w:rPr>
        <w:t xml:space="preserve">.</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2.2.6  Challenge Summary</w:t>
      </w:r>
    </w:p>
    <w:p>
      <w:pPr>
        <w:spacing w:after="120" w:before="60"/>
      </w:pPr>
      <w:r>
        <w:rPr>
          <w:rFonts w:ascii="Arial" w:cs="Arial" w:eastAsia="Arial" w:hAnsi="Arial"/>
          <w:b/>
          <w:bCs/>
          <w:sz w:val="22"/>
          <w:szCs w:val="22"/>
        </w:rPr>
        <w:t xml:space="preserve">Table 2.2.</w:t>
      </w:r>
      <w:r>
        <w:rPr>
          <w:rFonts w:ascii="Arial" w:cs="Arial" w:eastAsia="Arial" w:hAnsi="Arial"/>
          <w:sz w:val="22"/>
          <w:szCs w:val="22"/>
        </w:rPr>
        <w:t xml:space="preserve">  Key migration challenges, descriptions, and corresponding pipeline mitigations.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c>
          <w:tcPr>
            <w:tcW w:type="dxa" w:w="20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Challenge</w:t>
            </w:r>
          </w:p>
        </w:tc>
        <w:tc>
          <w:tcPr>
            <w:tcW w:type="dxa" w:w="3526"/>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35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the platform mitigation</w:t>
            </w:r>
          </w:p>
        </w:tc>
      </w:tr>
      <w:tr>
        <w:tc>
          <w:tcPr>
            <w:tcW w:type="dxa" w:w="2000"/>
            <w:tcBorders>
              <w:top w:val="single" w:color="CCCCCC" w:sz="1"/>
              <w:left w:val="single" w:color="CCCCCC" w:sz="1"/>
              <w:bottom w:val="single" w:color="CCCCCC" w:sz="1"/>
              <w:right w:val="single" w:color="CCCCCC" w:sz="1"/>
            </w:tcBorders>
            <w:shd w:fill="FFF5F0" w:val="clear"/>
            <w:tcMar>
              <w:top w:type="dxa" w:w="80"/>
              <w:left w:type="dxa" w:w="120"/>
              <w:bottom w:type="dxa" w:w="80"/>
              <w:right w:type="dxa" w:w="120"/>
            </w:tcMar>
          </w:tcPr>
          <w:p>
            <w:pPr>
              <w:jc w:val="left"/>
            </w:pPr>
            <w:r>
              <w:rPr>
                <w:rFonts w:ascii="Arial" w:cs="Arial" w:eastAsia="Arial" w:hAnsi="Arial"/>
                <w:b/>
                <w:bCs/>
                <w:color w:val="993C1D"/>
                <w:sz w:val="20"/>
                <w:szCs w:val="20"/>
              </w:rPr>
              <w:t xml:space="preserve">Semantic translation</w:t>
            </w:r>
          </w:p>
        </w:tc>
        <w:tc>
          <w:tcPr>
            <w:tcW w:type="dxa" w:w="3526"/>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QVS is not directly compatible with M Query or DAX. Business rules, ETL logic, and Set Analysis must be decomposed across Power BI's transformation, model, and measure layers.</w:t>
            </w:r>
          </w:p>
        </w:tc>
        <w:tc>
          <w:tcPr>
            <w:tcW w:type="dxa" w:w="35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the platform Stage 4 (RAG+LLM) translates QVS tabs to M Query; Stage 5 injects semantic model context to generate DAX with correct filter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993C1D"/>
                <w:sz w:val="20"/>
                <w:szCs w:val="20"/>
              </w:rPr>
              <w:t xml:space="preserve">Model restructuring</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The associative model does not map cleanly to Power BI's explicit star schema. Qlik-style multi-to-many associations require normalization and relationship redefinition.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Stage 3 maps object types and infers field roles; Stage 7 synthesises enriched JSON with relationship metadata for Power BI consumption.</w:t>
            </w:r>
          </w:p>
        </w:tc>
      </w:tr>
      <w:tr>
        <w:tc>
          <w:tcPr>
            <w:tcW w:type="dxa" w:w="2000"/>
            <w:tcBorders>
              <w:top w:val="single" w:color="CCCCCC" w:sz="1"/>
              <w:left w:val="single" w:color="CCCCCC" w:sz="1"/>
              <w:bottom w:val="single" w:color="CCCCCC" w:sz="1"/>
              <w:right w:val="single" w:color="CCCCCC" w:sz="1"/>
            </w:tcBorders>
            <w:shd w:fill="FFF5F0" w:val="clear"/>
            <w:tcMar>
              <w:top w:type="dxa" w:w="80"/>
              <w:left w:type="dxa" w:w="120"/>
              <w:bottom w:type="dxa" w:w="80"/>
              <w:right w:type="dxa" w:w="120"/>
            </w:tcMar>
          </w:tcPr>
          <w:p>
            <w:pPr>
              <w:jc w:val="left"/>
            </w:pPr>
            <w:r>
              <w:rPr>
                <w:rFonts w:ascii="Arial" w:cs="Arial" w:eastAsia="Arial" w:hAnsi="Arial"/>
                <w:b/>
                <w:bCs/>
                <w:color w:val="993C1D"/>
                <w:sz w:val="20"/>
                <w:szCs w:val="20"/>
              </w:rPr>
              <w:t xml:space="preserve">Metadata inaccessibility</w:t>
            </w:r>
          </w:p>
        </w:tc>
        <w:tc>
          <w:tcPr>
            <w:tcW w:type="dxa" w:w="3526"/>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QlikView embeds all metadata in a proprietary binary .qvw format accessible only through DocumentAnalyzer — no public API exists.</w:t>
            </w:r>
          </w:p>
        </w:tc>
        <w:tc>
          <w:tcPr>
            <w:tcW w:type="dxa" w:w="35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Stage 1 automates DocumentAnalyzer via GUI automation (PyAutoGUI + template matching), extracting all metadata without human intervention.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993C1D"/>
                <w:sz w:val="20"/>
                <w:szCs w:val="20"/>
              </w:rPr>
              <w:t xml:space="preserve">Manual effort at scale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 medium-complexity report requires 3–5 developer-days manually. At portfolio scale (50–200 reports), total effort reaches 6–10 weeks (Multishoring, 2026).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Full pipeline executes in 8–35 min per report, achieving ~97–98% effort reduction across all complexity profiles (see Section 5.1).</w:t>
            </w:r>
          </w:p>
        </w:tc>
      </w:tr>
      <w:tr>
        <w:tc>
          <w:tcPr>
            <w:tcW w:type="dxa" w:w="2000"/>
            <w:tcBorders>
              <w:top w:val="single" w:color="CCCCCC" w:sz="1"/>
              <w:left w:val="single" w:color="CCCCCC" w:sz="1"/>
              <w:bottom w:val="single" w:color="CCCCCC" w:sz="1"/>
              <w:right w:val="single" w:color="CCCCCC" w:sz="1"/>
            </w:tcBorders>
            <w:shd w:fill="FFF5F0" w:val="clear"/>
            <w:tcMar>
              <w:top w:type="dxa" w:w="80"/>
              <w:left w:type="dxa" w:w="120"/>
              <w:bottom w:type="dxa" w:w="80"/>
              <w:right w:type="dxa" w:w="120"/>
            </w:tcMar>
          </w:tcPr>
          <w:p>
            <w:pPr>
              <w:jc w:val="left"/>
            </w:pPr>
            <w:r>
              <w:rPr>
                <w:rFonts w:ascii="Arial" w:cs="Arial" w:eastAsia="Arial" w:hAnsi="Arial"/>
                <w:b/>
                <w:bCs/>
                <w:color w:val="993C1D"/>
                <w:sz w:val="20"/>
                <w:szCs w:val="20"/>
              </w:rPr>
              <w:t xml:space="preserve">Translation quality / hallucination</w:t>
            </w:r>
          </w:p>
        </w:tc>
        <w:tc>
          <w:tcPr>
            <w:tcW w:type="dxa" w:w="3526"/>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LLMs generate plausible but semantically incorrect code when lacking domain context — a critical risk for financial or operational measures.</w:t>
            </w:r>
          </w:p>
        </w:tc>
        <w:tc>
          <w:tcPr>
            <w:tcW w:type="dxa" w:w="35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RAG grounds generation in annotated QVS→M Query pairs; semantic model injection provides table/field context to DAX generation; low-confidence outputs are flagged for human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993C1D"/>
                <w:sz w:val="20"/>
                <w:szCs w:val="20"/>
              </w:rPr>
              <w:t xml:space="preserve">Validation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Power BI may reproduce the same KPI through a different semantic path; small relationship or filter-context differences can silently change totals.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Stage 7 exports page screenshots; GPT-4o Vision performs automated visual diff between source QlikView pages and generated artefacts.</w:t>
            </w:r>
          </w:p>
        </w:tc>
      </w:tr>
      <w:tr>
        <w:tc>
          <w:tcPr>
            <w:tcW w:type="dxa" w:w="2000"/>
            <w:tcBorders>
              <w:top w:val="single" w:color="CCCCCC" w:sz="1"/>
              <w:left w:val="single" w:color="CCCCCC" w:sz="1"/>
              <w:bottom w:val="single" w:color="CCCCCC" w:sz="1"/>
              <w:right w:val="single" w:color="CCCCCC" w:sz="1"/>
            </w:tcBorders>
            <w:shd w:fill="FFF5F0" w:val="clear"/>
            <w:tcMar>
              <w:top w:type="dxa" w:w="80"/>
              <w:left w:type="dxa" w:w="120"/>
              <w:bottom w:type="dxa" w:w="80"/>
              <w:right w:type="dxa" w:w="120"/>
            </w:tcMar>
          </w:tcPr>
          <w:p>
            <w:pPr>
              <w:jc w:val="left"/>
            </w:pPr>
            <w:r>
              <w:rPr>
                <w:rFonts w:ascii="Arial" w:cs="Arial" w:eastAsia="Arial" w:hAnsi="Arial"/>
                <w:b/>
                <w:bCs/>
                <w:color w:val="993C1D"/>
                <w:sz w:val="20"/>
                <w:szCs w:val="20"/>
              </w:rPr>
              <w:t xml:space="preserve">GUI automation brittleness</w:t>
            </w:r>
          </w:p>
        </w:tc>
        <w:tc>
          <w:tcPr>
            <w:tcW w:type="dxa" w:w="3526"/>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Template-matching automation breaks when UI theme, DPI, or window placement changes.</w:t>
            </w:r>
          </w:p>
        </w:tc>
        <w:tc>
          <w:tcPr>
            <w:tcW w:type="dxa" w:w="35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Fallback coordinate system for non-standard resolutions; SHA-256 cache prevents unnecessary re-runs; exponential back-off retries on transient failures.</w:t>
            </w:r>
          </w:p>
        </w:tc>
      </w:tr>
    </w:tbl>
    <w:p>
      <w:pPr>
        <w:spacing w:after="40" w:before="40"/>
      </w:pPr>
      <w:r>
        <w:t xml:space="preserve"/>
      </w:r>
    </w:p>
    <w:p>
      <w:pPr>
        <w:pStyle w:val="Heading2"/>
        <w:spacing w:after="140" w:before="280"/>
      </w:pPr>
      <w:r>
        <w:rPr>
          <w:rFonts w:ascii="Arial" w:cs="Arial" w:eastAsia="Arial" w:hAnsi="Arial"/>
          <w:b/>
          <w:bCs/>
          <w:color w:val="3C3489"/>
          <w:sz w:val="28"/>
          <w:szCs w:val="28"/>
        </w:rPr>
        <w:t xml:space="preserve">2.3  Retrieval-Augmented Generation for Domain-Specific Code Translation</w:t>
      </w:r>
    </w:p>
    <w:p>
      <w:pPr>
        <w:spacing w:after="120" w:before="60"/>
      </w:pPr>
      <w:r>
        <w:rPr>
          <w:rFonts w:ascii="Arial" w:cs="Arial" w:eastAsia="Arial" w:hAnsi="Arial"/>
          <w:sz w:val="22"/>
          <w:szCs w:val="22"/>
        </w:rPr>
        <w:t xml:space="preserve">Retrieval-Augmented Generation (RAG) was formalised by Lewis et al. (2020) as a method for combining a neural retriever with a sequence generator so that outputs are conditioned on external knowledge at inference time. This architecture addresses two critical limitations of LLMs for specialised tasks: </w:t>
      </w:r>
      <w:r>
        <w:rPr>
          <w:rFonts w:ascii="Arial" w:cs="Arial" w:eastAsia="Arial" w:hAnsi="Arial"/>
          <w:i/>
          <w:iCs/>
          <w:sz w:val="22"/>
          <w:szCs w:val="22"/>
        </w:rPr>
        <w:t xml:space="preserve">knowledge staleness</w:t>
      </w:r>
      <w:r>
        <w:rPr>
          <w:rFonts w:ascii="Arial" w:cs="Arial" w:eastAsia="Arial" w:hAnsi="Arial"/>
          <w:sz w:val="22"/>
          <w:szCs w:val="22"/>
        </w:rPr>
        <w:t xml:space="preserve"> and </w:t>
      </w:r>
      <w:r>
        <w:rPr>
          <w:rFonts w:ascii="Arial" w:cs="Arial" w:eastAsia="Arial" w:hAnsi="Arial"/>
          <w:i/>
          <w:iCs/>
          <w:sz w:val="22"/>
          <w:szCs w:val="22"/>
        </w:rPr>
        <w:t xml:space="preserve">hallucination</w:t>
      </w:r>
      <w:r>
        <w:rPr>
          <w:rFonts w:ascii="Arial" w:cs="Arial" w:eastAsia="Arial" w:hAnsi="Arial"/>
          <w:sz w:val="22"/>
          <w:szCs w:val="22"/>
        </w:rPr>
        <w:t xml:space="preserve"> — the generation of syntactically correct but semantically incorrect constructs when domain context is absent.</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2.3.1  RAG for Code Migration</w:t>
      </w:r>
    </w:p>
    <w:p>
      <w:pPr>
        <w:spacing w:after="120" w:before="60"/>
      </w:pPr>
      <w:r>
        <w:rPr>
          <w:rFonts w:ascii="Arial" w:cs="Arial" w:eastAsia="Arial" w:hAnsi="Arial"/>
          <w:sz w:val="22"/>
          <w:szCs w:val="22"/>
        </w:rPr>
        <w:t xml:space="preserve">By 2024, code migration had been reframed as a specialised software-engineering task, with retrieval playing a central role in grounding generation in project-specific patterns and conventions </w:t>
      </w:r>
      <w:r>
        <w:rPr>
          <w:rFonts w:ascii="Arial" w:cs="Arial" w:eastAsia="Arial" w:hAnsi="Arial"/>
          <w:color w:val="534AB7"/>
          <w:sz w:val="22"/>
          <w:szCs w:val="22"/>
        </w:rPr>
        <w:t xml:space="preserve">(Gao et al., 2024; Google, 2025)</w:t>
      </w:r>
      <w:r>
        <w:rPr>
          <w:rFonts w:ascii="Arial" w:cs="Arial" w:eastAsia="Arial" w:hAnsi="Arial"/>
          <w:sz w:val="22"/>
          <w:szCs w:val="22"/>
        </w:rPr>
        <w:t xml:space="preserve">. Google's 2025 experience report on internal code migrations frames LLM-assisted translation as an engineering workflow where retrieval of prior code patterns improves quality, but human review and testing remain necessary for correctness. RAG can be understood as </w:t>
      </w:r>
      <w:r>
        <w:rPr>
          <w:rFonts w:ascii="Arial" w:cs="Arial" w:eastAsia="Arial" w:hAnsi="Arial"/>
          <w:i/>
          <w:iCs/>
          <w:sz w:val="22"/>
          <w:szCs w:val="22"/>
        </w:rPr>
        <w:t xml:space="preserve">dynamic few-shot prompting</w:t>
      </w:r>
      <w:r>
        <w:rPr>
          <w:rFonts w:ascii="Arial" w:cs="Arial" w:eastAsia="Arial" w:hAnsi="Arial"/>
          <w:sz w:val="22"/>
          <w:szCs w:val="22"/>
        </w:rPr>
        <w:t xml:space="preserve">: rather than using fixed hand-selected examples, the retriever selects examples tailored to the specific source fragment and local codebase at inference time </w:t>
      </w:r>
      <w:r>
        <w:rPr>
          <w:rFonts w:ascii="Arial" w:cs="Arial" w:eastAsia="Arial" w:hAnsi="Arial"/>
          <w:color w:val="534AB7"/>
          <w:sz w:val="22"/>
          <w:szCs w:val="22"/>
        </w:rPr>
        <w:t xml:space="preserve">(Chen et al., 2021)</w:t>
      </w:r>
      <w:r>
        <w:rPr>
          <w:rFonts w:ascii="Arial" w:cs="Arial" w:eastAsia="Arial" w:hAnsi="Arial"/>
          <w:sz w:val="22"/>
          <w:szCs w:val="22"/>
        </w:rPr>
        <w:t xml:space="preserve">.</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2.3.2  Embedding-Based Retrieval for Proprietary Languages</w:t>
      </w:r>
    </w:p>
    <w:p>
      <w:pPr>
        <w:spacing w:after="120" w:before="60"/>
      </w:pPr>
      <w:r>
        <w:rPr>
          <w:rFonts w:ascii="Arial" w:cs="Arial" w:eastAsia="Arial" w:hAnsi="Arial"/>
          <w:sz w:val="22"/>
          <w:szCs w:val="22"/>
        </w:rPr>
        <w:t xml:space="preserve">Embedding-based retrieval is especially valuable for niche or proprietary languages — such as QlikView Script — where exact lexical overlap between source and target is low and semantic similarity matters more than surface string matching </w:t>
      </w:r>
      <w:r>
        <w:rPr>
          <w:rFonts w:ascii="Arial" w:cs="Arial" w:eastAsia="Arial" w:hAnsi="Arial"/>
          <w:color w:val="534AB7"/>
          <w:sz w:val="22"/>
          <w:szCs w:val="22"/>
        </w:rPr>
        <w:t xml:space="preserve">(Sharma et al., 2024)</w:t>
      </w:r>
      <w:r>
        <w:rPr>
          <w:rFonts w:ascii="Arial" w:cs="Arial" w:eastAsia="Arial" w:hAnsi="Arial"/>
          <w:sz w:val="22"/>
          <w:szCs w:val="22"/>
        </w:rPr>
        <w:t xml:space="preserve">. Aalto University (2024) confirms that retrieval-augmented code generation reduces hallucination and improves syntactic correctness when the knowledge base contains validated translation pairs. For proprietary DSLs, RAG is more practical than plain prompting because it retrieves internal migration templates and validated examples, giving the model concrete anchors for syntax and semantics.</w:t>
      </w:r>
    </w:p>
    <w:p>
      <w:pPr>
        <w:spacing w:after="40" w:before="40"/>
      </w:pPr>
      <w:r>
        <w:t xml:space="preserve"/>
      </w:r>
    </w:p>
    <w:p>
      <w:pPr>
        <w:pStyle w:val="Heading2"/>
        <w:spacing w:after="140" w:before="280"/>
      </w:pPr>
      <w:r>
        <w:rPr>
          <w:rFonts w:ascii="Arial" w:cs="Arial" w:eastAsia="Arial" w:hAnsi="Arial"/>
          <w:b/>
          <w:bCs/>
          <w:color w:val="3C3489"/>
          <w:sz w:val="28"/>
          <w:szCs w:val="28"/>
        </w:rPr>
        <w:t xml:space="preserve">2.4  GUI Automation for Legacy Systems Without a Programmatic API</w:t>
      </w:r>
    </w:p>
    <w:p>
      <w:pPr>
        <w:spacing w:after="120" w:before="60"/>
      </w:pPr>
      <w:r>
        <w:rPr>
          <w:rFonts w:ascii="Arial" w:cs="Arial" w:eastAsia="Arial" w:hAnsi="Arial"/>
          <w:sz w:val="22"/>
          <w:szCs w:val="22"/>
        </w:rPr>
        <w:t xml:space="preserve">A recurring challenge in enterprise data migration is accessing metadata from legacy systems that expose no programmatic interface. When an application cannot be queried through an API, SDK, or file-based export, automation must operate at the graphical user interface (GUI) level — simulating human interactions with keyboard and mouse events. This category of tooling is broadly known as Robotic Process Automation (RPA) </w:t>
      </w:r>
      <w:r>
        <w:rPr>
          <w:rFonts w:ascii="Arial" w:cs="Arial" w:eastAsia="Arial" w:hAnsi="Arial"/>
          <w:color w:val="534AB7"/>
          <w:sz w:val="22"/>
          <w:szCs w:val="22"/>
        </w:rPr>
        <w:t xml:space="preserve">(Conexiom, 2024; Boomi, 2025)</w:t>
      </w:r>
      <w:r>
        <w:rPr>
          <w:rFonts w:ascii="Arial" w:cs="Arial" w:eastAsia="Arial" w:hAnsi="Arial"/>
          <w:sz w:val="22"/>
          <w:szCs w:val="22"/>
        </w:rPr>
        <w:t xml:space="preserve">.</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2.4.1  Core Techniques</w:t>
      </w:r>
    </w:p>
    <w:p>
      <w:pPr>
        <w:spacing w:after="120" w:before="60"/>
      </w:pPr>
      <w:r>
        <w:rPr>
          <w:rFonts w:ascii="Arial" w:cs="Arial" w:eastAsia="Arial" w:hAnsi="Arial"/>
          <w:sz w:val="22"/>
          <w:szCs w:val="22"/>
        </w:rPr>
        <w:t xml:space="preserve">The main technique stack for GUI automation of legacy applications consists of four layers, typically used in combination:</w:t>
      </w:r>
    </w:p>
    <w:p>
      <w:pPr>
        <w:spacing w:after="40" w:before="40"/>
      </w:pPr>
      <w:r>
        <w:t xml:space="preserve"/>
      </w:r>
    </w:p>
    <w:p>
      <w:pPr>
        <w:pStyle w:val="ListParagraph"/>
        <w:numPr>
          <w:ilvl w:val="0"/>
          <w:numId w:val="2"/>
        </w:numPr>
        <w:spacing w:after="60" w:before="40"/>
      </w:pPr>
      <w:r>
        <w:rPr>
          <w:rFonts w:ascii="Arial" w:cs="Arial" w:eastAsia="Arial" w:hAnsi="Arial"/>
          <w:sz w:val="22"/>
          <w:szCs w:val="22"/>
        </w:rPr>
        <w:t xml:space="preserve">Coordinate-based automation: clicks fixed screen positions. Simple and fast, but brittle when resolution or window placement changes.</w:t>
      </w:r>
    </w:p>
    <w:p>
      <w:pPr>
        <w:pStyle w:val="ListParagraph"/>
        <w:numPr>
          <w:ilvl w:val="0"/>
          <w:numId w:val="2"/>
        </w:numPr>
        <w:spacing w:after="60" w:before="40"/>
      </w:pPr>
      <w:r>
        <w:rPr>
          <w:rFonts w:ascii="Arial" w:cs="Arial" w:eastAsia="Arial" w:hAnsi="Arial"/>
          <w:sz w:val="22"/>
          <w:szCs w:val="22"/>
        </w:rPr>
        <w:t xml:space="preserve">Template matching: searches for a known image fragment before clicking. More resilient than raw coordinates but sensitive to theme and DPI changes (QACred, 2025).</w:t>
      </w:r>
    </w:p>
    <w:p>
      <w:pPr>
        <w:pStyle w:val="ListParagraph"/>
        <w:numPr>
          <w:ilvl w:val="0"/>
          <w:numId w:val="2"/>
        </w:numPr>
        <w:spacing w:after="60" w:before="40"/>
      </w:pPr>
      <w:r>
        <w:rPr>
          <w:rFonts w:ascii="Arial" w:cs="Arial" w:eastAsia="Arial" w:hAnsi="Arial"/>
          <w:sz w:val="22"/>
          <w:szCs w:val="22"/>
        </w:rPr>
        <w:t xml:space="preserve">OCR-assisted automation: extracts visible text to identify controls or verify state — useful when no object model is exposed (Conexiom, 2024).</w:t>
      </w:r>
    </w:p>
    <w:p>
      <w:pPr>
        <w:pStyle w:val="ListParagraph"/>
        <w:numPr>
          <w:ilvl w:val="0"/>
          <w:numId w:val="2"/>
        </w:numPr>
        <w:spacing w:after="60" w:before="40"/>
      </w:pPr>
      <w:r>
        <w:rPr>
          <w:rFonts w:ascii="Arial" w:cs="Arial" w:eastAsia="Arial" w:hAnsi="Arial"/>
          <w:sz w:val="22"/>
          <w:szCs w:val="22"/>
        </w:rPr>
        <w:t xml:space="preserve">Computer-vision automation: interprets screen regions via a see-think-act loop. Strongest option for complex legacy applications (Ataya, 2025).</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2.4.2  Trade-offs and the Platform's Approach</w:t>
      </w:r>
    </w:p>
    <w:p>
      <w:pPr>
        <w:spacing w:after="120" w:before="60"/>
      </w:pPr>
      <w:r>
        <w:rPr>
          <w:rFonts w:ascii="Arial" w:cs="Arial" w:eastAsia="Arial" w:hAnsi="Arial"/>
          <w:sz w:val="22"/>
          <w:szCs w:val="22"/>
        </w:rPr>
        <w:t xml:space="preserve">The central trade-off is brittleness versus coverage. Image-based automation can reach software with no API but requires more maintenance when the UI changes </w:t>
      </w:r>
      <w:r>
        <w:rPr>
          <w:rFonts w:ascii="Arial" w:cs="Arial" w:eastAsia="Arial" w:hAnsi="Arial"/>
          <w:color w:val="534AB7"/>
          <w:sz w:val="22"/>
          <w:szCs w:val="22"/>
        </w:rPr>
        <w:t xml:space="preserve">(QACred, 2025)</w:t>
      </w:r>
      <w:r>
        <w:rPr>
          <w:rFonts w:ascii="Arial" w:cs="Arial" w:eastAsia="Arial" w:hAnsi="Arial"/>
          <w:sz w:val="22"/>
          <w:szCs w:val="22"/>
        </w:rPr>
        <w:t xml:space="preserve">. Best practice is to keep the automation layer thin, add checkpoints after key actions, and maintain a coordinate fallback for non-standard resolutions. PyAutoGUI (Sweigart, 2019) implements this pattern through template matching with configurable confidence thresholds — the approach adopted in Stage 1 of the platform, augmented with SHA-256 caching and exponential back-off retries.</w:t>
      </w:r>
    </w:p>
    <w:p>
      <w:pPr>
        <w:spacing w:after="40" w:before="40"/>
      </w:pPr>
      <w:r>
        <w:t xml:space="preserve"/>
      </w:r>
    </w:p>
    <w:p>
      <w:pPr>
        <w:pStyle w:val="Heading1"/>
        <w:spacing w:after="180" w:before="400"/>
      </w:pPr>
      <w:r>
        <w:rPr>
          <w:rFonts w:ascii="Arial" w:cs="Arial" w:eastAsia="Arial" w:hAnsi="Arial"/>
          <w:b/>
          <w:bCs/>
          <w:color w:val="2E2B6E"/>
          <w:sz w:val="32"/>
          <w:szCs w:val="32"/>
        </w:rPr>
        <w:t xml:space="preserve">3.  The Automated Migration Platform</w:t>
      </w:r>
    </w:p>
    <w:p>
      <w:pPr>
        <w:spacing w:after="120" w:before="60"/>
      </w:pPr>
      <w:r>
        <w:rPr>
          <w:rFonts w:ascii="Arial" w:cs="Arial" w:eastAsia="Arial" w:hAnsi="Arial"/>
          <w:sz w:val="22"/>
          <w:szCs w:val="22"/>
        </w:rPr>
        <w:t xml:space="preserve">The automated migration platform is an end-to-end system that translates QlikView reports into Microsoft Power BI artefacts without manual intervention. It is implemented as a seven-stage sequential pipeline in Python, orchestrated through a Streamlit web interface, and powered by the Azure OpenAI API (GPT-4o and text-embedding-3-small).</w:t>
      </w:r>
    </w:p>
    <w:p>
      <w:pPr>
        <w:spacing w:after="40" w:before="40"/>
      </w:pPr>
      <w:r>
        <w:t xml:space="preserve"/>
      </w:r>
    </w:p>
    <w:p>
      <w:pPr>
        <w:spacing w:after="120" w:before="60"/>
      </w:pPr>
      <w:r>
        <w:rPr>
          <w:rFonts w:ascii="Arial" w:cs="Arial" w:eastAsia="Arial" w:hAnsi="Arial"/>
          <w:b/>
          <w:bCs/>
          <w:sz w:val="22"/>
          <w:szCs w:val="22"/>
        </w:rPr>
        <w:t xml:space="preserve">Stage 1 — Metadata extraction.</w:t>
      </w:r>
      <w:r>
        <w:rPr>
          <w:rFonts w:ascii="Arial" w:cs="Arial" w:eastAsia="Arial" w:hAnsi="Arial"/>
          <w:sz w:val="22"/>
          <w:szCs w:val="22"/>
        </w:rPr>
        <w:t xml:space="preserve">  The platform automates interaction with QlikView DocumentAnalyzer — a proprietary tool that has no public API — using GUI automation (PyAutoGUI) with template matching at configurable confidence thresholds. For each .qvw file, it extracts objects.csv, expressions.csv, fields.csv, sheets.csv, and the raw load script (.qvs). A SHA-256 cache prevents redundant re-extractions on unchanged files.</w:t>
      </w:r>
    </w:p>
    <w:p>
      <w:pPr>
        <w:spacing w:after="40" w:before="40"/>
      </w:pPr>
      <w:r>
        <w:t xml:space="preserve"/>
      </w:r>
    </w:p>
    <w:p>
      <w:pPr>
        <w:spacing w:after="120" w:before="60"/>
      </w:pPr>
      <w:r>
        <w:rPr>
          <w:rFonts w:ascii="Arial" w:cs="Arial" w:eastAsia="Arial" w:hAnsi="Arial"/>
          <w:b/>
          <w:bCs/>
          <w:sz w:val="22"/>
          <w:szCs w:val="22"/>
        </w:rPr>
        <w:t xml:space="preserve">Stage 2 — XML parsing.</w:t>
      </w:r>
      <w:r>
        <w:rPr>
          <w:rFonts w:ascii="Arial" w:cs="Arial" w:eastAsia="Arial" w:hAnsi="Arial"/>
          <w:sz w:val="22"/>
          <w:szCs w:val="22"/>
        </w:rPr>
        <w:t xml:space="preserve">  Each visual object's XML descriptor is parsed via a depth-first traversal that flattens the 5–8 level nested structure into a single-row CSV with n×m attribute columns. Character encoding is detected automatically using chardet.</w:t>
      </w:r>
    </w:p>
    <w:p>
      <w:pPr>
        <w:spacing w:after="40" w:before="40"/>
      </w:pPr>
      <w:r>
        <w:t xml:space="preserve"/>
      </w:r>
    </w:p>
    <w:p>
      <w:pPr>
        <w:spacing w:after="120" w:before="60"/>
      </w:pPr>
      <w:r>
        <w:rPr>
          <w:rFonts w:ascii="Arial" w:cs="Arial" w:eastAsia="Arial" w:hAnsi="Arial"/>
          <w:b/>
          <w:bCs/>
          <w:sz w:val="22"/>
          <w:szCs w:val="22"/>
        </w:rPr>
        <w:t xml:space="preserve">Stage 3 — Field mapping.</w:t>
      </w:r>
      <w:r>
        <w:rPr>
          <w:rFonts w:ascii="Arial" w:cs="Arial" w:eastAsia="Arial" w:hAnsi="Arial"/>
          <w:sz w:val="22"/>
          <w:szCs w:val="22"/>
        </w:rPr>
        <w:t xml:space="preserve">  A 93-entry lookup table maps QlikView object type prefixes (CH, LB, TB, TX…) to their Power BI equivalents and filters the relevant subset of attributes. Each CSV is pivoted from wide format to long (attribute/value) format for downstream processing.</w:t>
      </w:r>
    </w:p>
    <w:p>
      <w:pPr>
        <w:spacing w:after="40" w:before="40"/>
      </w:pPr>
      <w:r>
        <w:t xml:space="preserve"/>
      </w:r>
    </w:p>
    <w:p>
      <w:pPr>
        <w:spacing w:after="120" w:before="60"/>
      </w:pPr>
      <w:r>
        <w:rPr>
          <w:rFonts w:ascii="Arial" w:cs="Arial" w:eastAsia="Arial" w:hAnsi="Arial"/>
          <w:b/>
          <w:bCs/>
          <w:sz w:val="22"/>
          <w:szCs w:val="22"/>
        </w:rPr>
        <w:t xml:space="preserve">Stage 4 — Script translation (RAG).</w:t>
      </w:r>
      <w:r>
        <w:rPr>
          <w:rFonts w:ascii="Arial" w:cs="Arial" w:eastAsia="Arial" w:hAnsi="Arial"/>
          <w:sz w:val="22"/>
          <w:szCs w:val="22"/>
        </w:rPr>
        <w:t xml:space="preserve">  The QlikView load script is segmented by tab markers (///$tab). Each tab is embedded using text-embedding-3-small (d=1,536) and matched against a knowledge base of annotated QVS→M Query example pairs via cosine similarity. The top-k most similar examples are injected as few-shot context into a GPT-4o prompt, which generates the M Query equivalent. Output is post-processed with regex to extract structured (TableName, MQueryScript) pairs.</w:t>
      </w:r>
    </w:p>
    <w:p>
      <w:pPr>
        <w:spacing w:after="40" w:before="40"/>
      </w:pPr>
      <w:r>
        <w:t xml:space="preserve"/>
      </w:r>
    </w:p>
    <w:p>
      <w:pPr>
        <w:spacing w:after="120" w:before="60"/>
      </w:pPr>
      <w:r>
        <w:rPr>
          <w:rFonts w:ascii="Arial" w:cs="Arial" w:eastAsia="Arial" w:hAnsi="Arial"/>
          <w:b/>
          <w:bCs/>
          <w:sz w:val="22"/>
          <w:szCs w:val="22"/>
        </w:rPr>
        <w:t xml:space="preserve">Stage 5 — Expression translation (LLM).</w:t>
      </w:r>
      <w:r>
        <w:rPr>
          <w:rFonts w:ascii="Arial" w:cs="Arial" w:eastAsia="Arial" w:hAnsi="Arial"/>
          <w:sz w:val="22"/>
          <w:szCs w:val="22"/>
        </w:rPr>
        <w:t xml:space="preserve">  Each visual expression is sent to GPT-4o together with the report's semantic model — table names, field names, and inferred DAX types extracted automatically from fields.csv. A sliding-window rate limiter enforces the 150 req/min API constraint. Translations with model confidence below 80% are flagged with a </w:t>
      </w:r>
      <w:r>
        <w:rPr>
          <w:rFonts w:ascii="Arial" w:cs="Arial" w:eastAsia="Arial" w:hAnsi="Arial"/>
          <w:sz w:val="22"/>
          <w:szCs w:val="22"/>
        </w:rPr>
      </w:r>
      <w:r>
        <w:rPr>
          <w:rFonts w:ascii="Arial" w:cs="Arial" w:eastAsia="Arial" w:hAnsi="Arial"/>
          <w:sz w:val="22"/>
          <w:szCs w:val="22"/>
        </w:rPr>
        <w:t xml:space="preserve"> marker for analyst review.</w:t>
      </w:r>
    </w:p>
    <w:p>
      <w:pPr>
        <w:spacing w:after="40" w:before="40"/>
      </w:pPr>
      <w:r>
        <w:t xml:space="preserve"/>
      </w:r>
    </w:p>
    <w:p>
      <w:pPr>
        <w:spacing w:after="120" w:before="60"/>
      </w:pPr>
      <w:r>
        <w:rPr>
          <w:rFonts w:ascii="Arial" w:cs="Arial" w:eastAsia="Arial" w:hAnsi="Arial"/>
          <w:b/>
          <w:bCs/>
          <w:sz w:val="22"/>
          <w:szCs w:val="22"/>
        </w:rPr>
        <w:t xml:space="preserve">Stage 6 — Visual export.</w:t>
      </w:r>
      <w:r>
        <w:rPr>
          <w:rFonts w:ascii="Arial" w:cs="Arial" w:eastAsia="Arial" w:hAnsi="Arial"/>
          <w:sz w:val="22"/>
          <w:szCs w:val="22"/>
        </w:rPr>
        <w:t xml:space="preserve">  Each report page is exported to PDF via GUI automation, then rendered at 300 DPI using PyMuPDF. Background colour detection, alpha masking, and bounding-box cropping produce clean PNG images alongside a page_dimensions.json file containing normalised spatial coordinates (0–1) for layout reconstruction at any target resolution.</w:t>
      </w:r>
    </w:p>
    <w:p>
      <w:pPr>
        <w:spacing w:after="40" w:before="40"/>
      </w:pPr>
      <w:r>
        <w:t xml:space="preserve"/>
      </w:r>
    </w:p>
    <w:p>
      <w:pPr>
        <w:spacing w:after="120" w:before="60"/>
      </w:pPr>
      <w:r>
        <w:rPr>
          <w:rFonts w:ascii="Arial" w:cs="Arial" w:eastAsia="Arial" w:hAnsi="Arial"/>
          <w:b/>
          <w:bCs/>
          <w:sz w:val="22"/>
          <w:szCs w:val="22"/>
        </w:rPr>
        <w:t xml:space="preserve">Stage 7 — JSON synthesis.</w:t>
      </w:r>
      <w:r>
        <w:rPr>
          <w:rFonts w:ascii="Arial" w:cs="Arial" w:eastAsia="Arial" w:hAnsi="Arial"/>
          <w:sz w:val="22"/>
          <w:szCs w:val="22"/>
        </w:rPr>
        <w:t xml:space="preserve">  All intermediate artefacts are consolidated into three structured output files via multi-source pandas left joins: </w:t>
      </w:r>
      <w:r>
        <w:rPr>
          <w:rFonts w:ascii="Arial" w:cs="Arial" w:eastAsia="Arial" w:hAnsi="Arial"/>
          <w:sz w:val="22"/>
          <w:szCs w:val="22"/>
        </w:rPr>
      </w:r>
      <w:r>
        <w:rPr>
          <w:rFonts w:ascii="Arial" w:cs="Arial" w:eastAsia="Arial" w:hAnsi="Arial"/>
          <w:sz w:val="22"/>
          <w:szCs w:val="22"/>
        </w:rPr>
        <w:t xml:space="preserve"> (all visual objects with translated DAX measures and Power BI type mappings), </w:t>
      </w:r>
      <w:r>
        <w:rPr>
          <w:rFonts w:ascii="Arial" w:cs="Arial" w:eastAsia="Arial" w:hAnsi="Arial"/>
          <w:sz w:val="22"/>
          <w:szCs w:val="22"/>
        </w:rPr>
      </w:r>
      <w:r>
        <w:rPr>
          <w:rFonts w:ascii="Arial" w:cs="Arial" w:eastAsia="Arial" w:hAnsi="Arial"/>
          <w:sz w:val="22"/>
          <w:szCs w:val="22"/>
        </w:rPr>
        <w:t xml:space="preserve"> (M Query tables per data source), and </w:t>
      </w:r>
      <w:r>
        <w:rPr>
          <w:rFonts w:ascii="Arial" w:cs="Arial" w:eastAsia="Arial" w:hAnsi="Arial"/>
          <w:sz w:val="22"/>
          <w:szCs w:val="22"/>
        </w:rPr>
      </w:r>
      <w:r>
        <w:rPr>
          <w:rFonts w:ascii="Arial" w:cs="Arial" w:eastAsia="Arial" w:hAnsi="Arial"/>
          <w:sz w:val="22"/>
          <w:szCs w:val="22"/>
        </w:rPr>
        <w:t xml:space="preserve"> (page layout and spatial metadata). The stage supports graceful degradation — if any upstream stage is missing, the pipeline continues with available data and logs warnings rather than failing.</w:t>
      </w:r>
    </w:p>
    <w:p>
      <w:pPr>
        <w:spacing w:after="40" w:before="40"/>
      </w:pPr>
      <w:r>
        <w:t xml:space="preserve"/>
      </w:r>
    </w:p>
    <w:p>
      <w:pPr>
        <w:spacing w:after="120" w:before="60"/>
      </w:pPr>
      <w:r>
        <w:rPr>
          <w:rFonts w:ascii="Arial" w:cs="Arial" w:eastAsia="Arial" w:hAnsi="Arial"/>
          <w:sz w:val="22"/>
          <w:szCs w:val="22"/>
        </w:rPr>
        <w:t xml:space="preserve">The platform runs on Windows (full pipeline) and can be deployed to cloud environments in read-only demonstration mode. All execution metadata is persisted in execution_log.json with per-file status, duration, and timestamps, enabling incremental re-runs over large report portfolios.</w:t>
      </w:r>
    </w:p>
    <w:p>
      <w:pPr>
        <w:spacing w:after="40" w:before="40"/>
      </w:pPr>
      <w:r>
        <w:t xml:space="preserve"/>
      </w:r>
    </w:p>
    <w:p>
      <w:pPr>
        <w:pStyle w:val="Heading1"/>
        <w:spacing w:after="180" w:before="400"/>
      </w:pPr>
      <w:r>
        <w:rPr>
          <w:rFonts w:ascii="Arial" w:cs="Arial" w:eastAsia="Arial" w:hAnsi="Arial"/>
          <w:b/>
          <w:bCs/>
          <w:color w:val="2E2B6E"/>
          <w:sz w:val="32"/>
          <w:szCs w:val="32"/>
        </w:rPr>
        <w:t xml:space="preserve">4.  Complexity and Effort Analysis</w:t>
      </w:r>
    </w:p>
    <w:p>
      <w:pPr>
        <w:spacing w:after="120" w:before="60"/>
      </w:pPr>
      <w:r>
        <w:rPr>
          <w:rFonts w:ascii="Arial" w:cs="Arial" w:eastAsia="Arial" w:hAnsi="Arial"/>
          <w:sz w:val="22"/>
          <w:szCs w:val="22"/>
        </w:rPr>
        <w:t xml:space="preserve">A rigorous evaluation of any automation platform must answer two questions: how much effort does the manual process require, and how does the automated system compare? This chapter addresses both by developing formal effort models grounded in the structural properties of a QlikView report.</w:t>
      </w:r>
    </w:p>
    <w:p>
      <w:pPr>
        <w:spacing w:after="40" w:before="40"/>
      </w:pPr>
      <w:r>
        <w:t xml:space="preserve"/>
      </w:r>
    </w:p>
    <w:p>
      <w:pPr>
        <w:spacing w:after="120" w:before="60"/>
      </w:pPr>
      <w:r>
        <w:rPr>
          <w:rFonts w:ascii="Arial" w:cs="Arial" w:eastAsia="Arial" w:hAnsi="Arial"/>
          <w:sz w:val="22"/>
          <w:szCs w:val="22"/>
        </w:rPr>
        <w:t xml:space="preserve">Section 4.1 models the </w:t>
      </w:r>
      <w:r>
        <w:rPr>
          <w:rFonts w:ascii="Arial" w:cs="Arial" w:eastAsia="Arial" w:hAnsi="Arial"/>
          <w:b/>
          <w:bCs/>
          <w:sz w:val="22"/>
          <w:szCs w:val="22"/>
        </w:rPr>
        <w:t xml:space="preserve">manual migration effort</w:t>
      </w:r>
      <w:r>
        <w:rPr>
          <w:rFonts w:ascii="Arial" w:cs="Arial" w:eastAsia="Arial" w:hAnsi="Arial"/>
          <w:sz w:val="22"/>
          <w:szCs w:val="22"/>
        </w:rPr>
        <w:t xml:space="preserve"> as a function of report complexity variables — the number of visual objects (n), XML attributes (m), script tabs (T), expressions (E), semantic fields (F), and pages (P) — deriving Big-O bounds and instantiating them numerically using the Airline Operations demo report.</w:t>
      </w:r>
    </w:p>
    <w:p>
      <w:pPr>
        <w:spacing w:after="40" w:before="40"/>
      </w:pPr>
      <w:r>
        <w:t xml:space="preserve"/>
      </w:r>
    </w:p>
    <w:p>
      <w:pPr>
        <w:spacing w:after="120" w:before="60"/>
      </w:pPr>
      <w:r>
        <w:rPr>
          <w:rFonts w:ascii="Arial" w:cs="Arial" w:eastAsia="Arial" w:hAnsi="Arial"/>
          <w:sz w:val="22"/>
          <w:szCs w:val="22"/>
        </w:rPr>
        <w:t xml:space="preserve">Section 4.2 applies the </w:t>
      </w:r>
      <w:r>
        <w:rPr>
          <w:rFonts w:ascii="Arial" w:cs="Arial" w:eastAsia="Arial" w:hAnsi="Arial"/>
          <w:b/>
          <w:bCs/>
          <w:sz w:val="22"/>
          <w:szCs w:val="22"/>
        </w:rPr>
        <w:t xml:space="preserve">same variables and task decomposition</w:t>
      </w:r>
      <w:r>
        <w:rPr>
          <w:rFonts w:ascii="Arial" w:cs="Arial" w:eastAsia="Arial" w:hAnsi="Arial"/>
          <w:sz w:val="22"/>
          <w:szCs w:val="22"/>
        </w:rPr>
        <w:t xml:space="preserve"> to the automated pipeline, expressing cost in pipeline minutes rather than person-hours. This parallel structure makes the two models directly comparable.</w:t>
      </w:r>
    </w:p>
    <w:p>
      <w:pPr>
        <w:spacing w:after="40" w:before="40"/>
      </w:pPr>
      <w:r>
        <w:t xml:space="preserve"/>
      </w:r>
    </w:p>
    <w:p>
      <w:pPr>
        <w:spacing w:after="120" w:before="60"/>
      </w:pPr>
      <w:r>
        <w:rPr>
          <w:rFonts w:ascii="Arial" w:cs="Arial" w:eastAsia="Arial" w:hAnsi="Arial"/>
          <w:sz w:val="22"/>
          <w:szCs w:val="22"/>
        </w:rPr>
        <w:t xml:space="preserve">Section 4.3 brings the two models together, deriving a formal speedup ratio and analysing how both models scale at portfolio level.</w:t>
      </w:r>
    </w:p>
    <w:p>
      <w:pPr>
        <w:spacing w:after="40" w:before="40"/>
      </w:pPr>
      <w:r>
        <w:t xml:space="preserve"/>
      </w:r>
    </w:p>
    <w:p>
      <w:pPr>
        <w:pStyle w:val="Heading1"/>
        <w:spacing w:after="180" w:before="400"/>
      </w:pPr>
      <w:r>
        <w:rPr>
          <w:rFonts w:ascii="Arial" w:cs="Arial" w:eastAsia="Arial" w:hAnsi="Arial"/>
          <w:b/>
          <w:bCs/>
          <w:color w:val="2E2B6E"/>
          <w:sz w:val="32"/>
          <w:szCs w:val="32"/>
        </w:rPr>
        <w:t xml:space="preserve">4.1  Manual Migration Effort Model</w:t>
      </w:r>
    </w:p>
    <w:p>
      <w:pPr>
        <w:spacing w:after="120" w:before="60"/>
      </w:pPr>
      <w:r>
        <w:rPr>
          <w:rFonts w:ascii="Arial" w:cs="Arial" w:eastAsia="Arial" w:hAnsi="Arial"/>
          <w:sz w:val="22"/>
          <w:szCs w:val="22"/>
        </w:rPr>
        <w:t xml:space="preserve">Before analysing the automated pipeline's cost, it is necessary to formally characterise the effort required to perform the same migration manually. This section models human effort as a function of report structure variables, derives Big-O bounds for each migration task, and instantiates them numerically using the Airline Operations demo report. Section 4.2 then applies the same variables to the automated pipeline, enabling a direct comparison in Section 4.3.</w:t>
      </w:r>
    </w:p>
    <w:p>
      <w:pPr>
        <w:spacing w:after="40" w:before="40"/>
      </w:pPr>
      <w:r>
        <w:t xml:space="preserve"/>
      </w:r>
    </w:p>
    <w:p>
      <w:pPr>
        <w:pStyle w:val="Heading2"/>
        <w:spacing w:after="140" w:before="280"/>
      </w:pPr>
      <w:r>
        <w:rPr>
          <w:rFonts w:ascii="Arial" w:cs="Arial" w:eastAsia="Arial" w:hAnsi="Arial"/>
          <w:b/>
          <w:bCs/>
          <w:color w:val="3C3489"/>
          <w:sz w:val="28"/>
          <w:szCs w:val="28"/>
        </w:rPr>
        <w:t xml:space="preserve">4.1.1  Variables and Baseline Assumptions</w:t>
      </w:r>
    </w:p>
    <w:p>
      <w:pPr>
        <w:spacing w:after="120" w:before="60"/>
      </w:pPr>
      <w:r>
        <w:rPr>
          <w:rFonts w:ascii="Arial" w:cs="Arial" w:eastAsia="Arial" w:hAnsi="Arial"/>
          <w:sz w:val="22"/>
          <w:szCs w:val="22"/>
        </w:rPr>
        <w:t xml:space="preserve">Manual migration effort is measured in person-hours (h) performed by a senior BI developer familiar with both QlikView and Power BI. The following variables characterise a single report: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800"/>
        <w:gridCol w:w="2926"/>
      </w:tblGrid>
      <w:tr>
        <w:tc>
          <w:tcPr>
            <w:tcW w:type="dxa" w:w="9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24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Represents</w:t>
            </w:r>
          </w:p>
        </w:tc>
        <w:tc>
          <w:tcPr>
            <w:tcW w:type="dxa" w:w="28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Airline Operations value</w:t>
            </w:r>
          </w:p>
        </w:tc>
        <w:tc>
          <w:tcPr>
            <w:tcW w:type="dxa" w:w="2926"/>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r>
      <w:tr>
        <w:tc>
          <w:tcPr>
            <w:tcW w:type="dxa" w:w="9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n</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Visual objects (charts, tables, listboxes…)</w:t>
            </w:r>
          </w:p>
        </w:tc>
        <w:tc>
          <w:tcPr>
            <w:tcW w:type="dxa" w:w="2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bCs/>
                <w:color w:val="085041"/>
                <w:sz w:val="20"/>
                <w:szCs w:val="20"/>
              </w:rPr>
              <w:t xml:space="preserve">n = 22</w:t>
            </w:r>
          </w:p>
        </w:tc>
        <w:tc>
          <w:tcPr>
            <w:tcW w:type="dxa" w:w="2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objects.csv</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Attributes to document per object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85041"/>
                <w:sz w:val="20"/>
                <w:szCs w:val="20"/>
              </w:rPr>
              <w:t xml:space="preserve">m ≈ 30</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Document/*.xml</w:t>
            </w:r>
          </w:p>
        </w:tc>
      </w:tr>
      <w:tr>
        <w:tc>
          <w:tcPr>
            <w:tcW w:type="dxa" w:w="9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T</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Script tabs to translate (///$tab)</w:t>
            </w:r>
          </w:p>
        </w:tc>
        <w:tc>
          <w:tcPr>
            <w:tcW w:type="dxa" w:w="2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bCs/>
                <w:color w:val="085041"/>
                <w:sz w:val="20"/>
                <w:szCs w:val="20"/>
              </w:rPr>
              <w:t xml:space="preserve">T = 3</w:t>
            </w:r>
          </w:p>
        </w:tc>
        <w:tc>
          <w:tcPr>
            <w:tcW w:type="dxa" w:w="2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script.qvs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Visual expressions to rewrite as DAX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85041"/>
                <w:sz w:val="20"/>
                <w:szCs w:val="20"/>
              </w:rPr>
              <w:t xml:space="preserve">E = 40</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expressions.csv</w:t>
            </w:r>
          </w:p>
        </w:tc>
      </w:tr>
      <w:tr>
        <w:tc>
          <w:tcPr>
            <w:tcW w:type="dxa" w:w="9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F</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Semantic model fields to understand</w:t>
            </w:r>
          </w:p>
        </w:tc>
        <w:tc>
          <w:tcPr>
            <w:tcW w:type="dxa" w:w="2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bCs/>
                <w:color w:val="085041"/>
                <w:sz w:val="20"/>
                <w:szCs w:val="20"/>
              </w:rPr>
              <w:t xml:space="preserve">F = 18</w:t>
            </w:r>
          </w:p>
        </w:tc>
        <w:tc>
          <w:tcPr>
            <w:tcW w:type="dxa" w:w="2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fields.csv</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Report pages to reconstruct visually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85041"/>
                <w:sz w:val="20"/>
                <w:szCs w:val="20"/>
              </w:rPr>
              <w:t xml:space="preserve">P = 2</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sheets.csv</w:t>
            </w:r>
          </w:p>
        </w:tc>
      </w:tr>
    </w:tbl>
    <w:p>
      <w:pPr>
        <w:spacing w:after="40" w:before="40"/>
      </w:pPr>
      <w:r>
        <w:t xml:space="preserve"/>
      </w:r>
    </w:p>
    <w:p>
      <w:pPr>
        <w:spacing w:after="120" w:before="60"/>
      </w:pPr>
      <w:r>
        <w:rPr>
          <w:rFonts w:ascii="Arial" w:cs="Arial" w:eastAsia="Arial" w:hAnsi="Arial"/>
          <w:sz w:val="22"/>
          <w:szCs w:val="22"/>
        </w:rPr>
        <w:t xml:space="preserve">Baseline unit costs per task are derived from industry migration benchmarks (Winwire, 2025; Leaplytics, 2023; Microsoft Learn, 2024c; KPI Partners, 2026):</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800"/>
        <w:gridCol w:w="1800"/>
        <w:gridCol w:w="2400"/>
      </w:tblGrid>
      <w:tr>
        <w:tc>
          <w:tcPr>
            <w:tcW w:type="dxa" w:w="3026"/>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18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 cost</w:t>
            </w:r>
          </w:p>
        </w:tc>
        <w:tc>
          <w:tcPr>
            <w:tcW w:type="dxa" w:w="18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Governs</w:t>
            </w:r>
          </w:p>
        </w:tc>
        <w:tc>
          <w:tcPr>
            <w:tcW w:type="dxa" w:w="24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Reference</w:t>
            </w:r>
          </w:p>
        </w:tc>
      </w:tr>
      <w:tr>
        <w:tc>
          <w:tcPr>
            <w:tcW w:type="dxa" w:w="3026"/>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Open, explore and document one visual object</w:t>
            </w:r>
          </w:p>
        </w:tc>
        <w:tc>
          <w:tcPr>
            <w:tcW w:type="dxa" w:w="18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0.25 – 0.5 h / object</w:t>
            </w:r>
          </w:p>
        </w:tc>
        <w:tc>
          <w:tcPr>
            <w:tcW w:type="dxa" w:w="18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n</w:t>
            </w:r>
          </w:p>
        </w:tc>
        <w:tc>
          <w:tcPr>
            <w:tcW w:type="dxa" w:w="24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Winwire, 2025</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Understand and document one XML attribute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0.05 – 0.1 h / attr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Leaplytics, 2023</w:t>
            </w:r>
          </w:p>
        </w:tc>
      </w:tr>
      <w:tr>
        <w:tc>
          <w:tcPr>
            <w:tcW w:type="dxa" w:w="3026"/>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Translate one script tab to M Query</w:t>
            </w:r>
          </w:p>
        </w:tc>
        <w:tc>
          <w:tcPr>
            <w:tcW w:type="dxa" w:w="18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2 – 3 h / tab</w:t>
            </w:r>
          </w:p>
        </w:tc>
        <w:tc>
          <w:tcPr>
            <w:tcW w:type="dxa" w:w="18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T</w:t>
            </w:r>
          </w:p>
        </w:tc>
        <w:tc>
          <w:tcPr>
            <w:tcW w:type="dxa" w:w="24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Microsoft Learn, 2024c</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Rewrite one visual expression as DAX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0.15 – 0.25 h / expr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KPI Partners, 2026</w:t>
            </w:r>
          </w:p>
        </w:tc>
      </w:tr>
      <w:tr>
        <w:tc>
          <w:tcPr>
            <w:tcW w:type="dxa" w:w="3026"/>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Understand semantic model fields</w:t>
            </w:r>
          </w:p>
        </w:tc>
        <w:tc>
          <w:tcPr>
            <w:tcW w:type="dxa" w:w="18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0.1 – 0.2 h / field</w:t>
            </w:r>
          </w:p>
        </w:tc>
        <w:tc>
          <w:tcPr>
            <w:tcW w:type="dxa" w:w="18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F</w:t>
            </w:r>
          </w:p>
        </w:tc>
        <w:tc>
          <w:tcPr>
            <w:tcW w:type="dxa" w:w="24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Leaplytics, 2023</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Reconstruct one report page in Power BI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2 – 4 h /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Winwire, 2025</w:t>
            </w:r>
          </w:p>
        </w:tc>
      </w:tr>
    </w:tbl>
    <w:p>
      <w:pPr>
        <w:spacing w:after="40" w:before="40"/>
      </w:pPr>
      <w:r>
        <w:t xml:space="preserve"/>
      </w:r>
    </w:p>
    <w:p>
      <w:pPr>
        <w:pStyle w:val="Heading2"/>
        <w:spacing w:after="140" w:before="280"/>
      </w:pPr>
      <w:r>
        <w:rPr>
          <w:rFonts w:ascii="Arial" w:cs="Arial" w:eastAsia="Arial" w:hAnsi="Arial"/>
          <w:b/>
          <w:bCs/>
          <w:color w:val="3C3489"/>
          <w:sz w:val="28"/>
          <w:szCs w:val="28"/>
        </w:rPr>
        <w:t xml:space="preserve">4.1.2  Effort Equations per Migration Task</w:t>
      </w:r>
    </w:p>
    <w:p>
      <w:pPr>
        <w:spacing w:after="120" w:before="60"/>
      </w:pPr>
      <w:r>
        <w:rPr>
          <w:rFonts w:ascii="Arial" w:cs="Arial" w:eastAsia="Arial" w:hAnsi="Arial"/>
          <w:sz w:val="22"/>
          <w:szCs w:val="22"/>
        </w:rPr>
        <w:t xml:space="preserve">Using α, β, γ, δ, ε, ζ as the mid-point unit costs (hours per unit) for each task, the effort for each phase is:</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Metadata extraction and documentation</w:t>
      </w:r>
    </w:p>
    <w:p>
      <w:pPr>
        <w:spacing w:after="120" w:before="60"/>
      </w:pPr>
      <w:r>
        <w:rPr>
          <w:rFonts w:ascii="Arial" w:cs="Arial" w:eastAsia="Arial" w:hAnsi="Arial"/>
          <w:sz w:val="22"/>
          <w:szCs w:val="22"/>
        </w:rPr>
        <w:t xml:space="preserve">Reviewing each visual object and recording its attributes manually:</w:t>
      </w:r>
    </w:p>
    <w:p>
      <w:pPr>
        <w:spacing w:after="100" w:before="100"/>
        <w:jc w:val="center"/>
      </w:pPr>
      <w:r>
        <w:rPr>
          <w:rFonts w:ascii="Courier New" w:cs="Courier New" w:eastAsia="Courier New" w:hAnsi="Courier New"/>
          <w:b/>
          <w:bCs/>
          <w:color w:val="3C3489"/>
          <w:sz w:val="22"/>
          <w:szCs w:val="22"/>
        </w:rPr>
        <w:t xml:space="preserve">H_meta(n, m)  =  α·n  +  β·n·m  =  O(nm)</w:t>
      </w:r>
    </w:p>
    <w:p>
      <w:pPr>
        <w:spacing w:after="120" w:before="60"/>
      </w:pPr>
      <w:r>
        <w:rPr>
          <w:rFonts w:ascii="Arial" w:cs="Arial" w:eastAsia="Arial" w:hAnsi="Arial"/>
          <w:b/>
          <w:bCs/>
          <w:sz w:val="22"/>
          <w:szCs w:val="22"/>
        </w:rPr>
        <w:t xml:space="preserve">Airline Operations:</w:t>
      </w:r>
      <w:r>
        <w:rPr>
          <w:rFonts w:ascii="Arial" w:cs="Arial" w:eastAsia="Arial" w:hAnsi="Arial"/>
          <w:sz w:val="22"/>
          <w:szCs w:val="22"/>
        </w:rPr>
        <w:t xml:space="preserve">  α = 0.375 h,  β = 0.075 h</w:t>
      </w:r>
    </w:p>
    <w:p>
      <w:pPr>
        <w:spacing w:after="100" w:before="100"/>
        <w:jc w:val="center"/>
      </w:pPr>
      <w:r>
        <w:rPr>
          <w:rFonts w:ascii="Courier New" w:cs="Courier New" w:eastAsia="Courier New" w:hAnsi="Courier New"/>
          <w:b/>
          <w:bCs/>
          <w:color w:val="3C3489"/>
          <w:sz w:val="22"/>
          <w:szCs w:val="22"/>
        </w:rPr>
        <w:t xml:space="preserve">H_meta  =  0.375 × 22  +  0.075 × 22 × 30  =  8.25  +  49.5  =  57.75 h  ≈  7.2 working days</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Script translation (QVS → M Query)</w:t>
      </w:r>
    </w:p>
    <w:p>
      <w:pPr>
        <w:spacing w:after="120" w:before="60"/>
      </w:pPr>
      <w:r>
        <w:rPr>
          <w:rFonts w:ascii="Arial" w:cs="Arial" w:eastAsia="Arial" w:hAnsi="Arial"/>
          <w:sz w:val="22"/>
          <w:szCs w:val="22"/>
        </w:rPr>
        <w:t xml:space="preserve">Each script tab requires full comprehension of the QVS logic and manual rewrite in M Query:</w:t>
      </w:r>
    </w:p>
    <w:p>
      <w:pPr>
        <w:spacing w:after="100" w:before="100"/>
        <w:jc w:val="center"/>
      </w:pPr>
      <w:r>
        <w:rPr>
          <w:rFonts w:ascii="Courier New" w:cs="Courier New" w:eastAsia="Courier New" w:hAnsi="Courier New"/>
          <w:b/>
          <w:bCs/>
          <w:color w:val="3C3489"/>
          <w:sz w:val="22"/>
          <w:szCs w:val="22"/>
        </w:rPr>
        <w:t xml:space="preserve">H_script(T)  =  γ·T  =  O(T)</w:t>
      </w:r>
    </w:p>
    <w:p>
      <w:pPr>
        <w:spacing w:after="120" w:before="60"/>
      </w:pPr>
      <w:r>
        <w:rPr>
          <w:rFonts w:ascii="Arial" w:cs="Arial" w:eastAsia="Arial" w:hAnsi="Arial"/>
          <w:b/>
          <w:bCs/>
          <w:sz w:val="22"/>
          <w:szCs w:val="22"/>
        </w:rPr>
        <w:t xml:space="preserve">Airline Operations:</w:t>
      </w:r>
      <w:r>
        <w:rPr>
          <w:rFonts w:ascii="Arial" w:cs="Arial" w:eastAsia="Arial" w:hAnsi="Arial"/>
          <w:sz w:val="22"/>
          <w:szCs w:val="22"/>
        </w:rPr>
        <w:t xml:space="preserve">  γ = 2.5 h/tab</w:t>
      </w:r>
    </w:p>
    <w:p>
      <w:pPr>
        <w:spacing w:after="100" w:before="100"/>
        <w:jc w:val="center"/>
      </w:pPr>
      <w:r>
        <w:rPr>
          <w:rFonts w:ascii="Courier New" w:cs="Courier New" w:eastAsia="Courier New" w:hAnsi="Courier New"/>
          <w:b/>
          <w:bCs/>
          <w:color w:val="3C3489"/>
          <w:sz w:val="22"/>
          <w:szCs w:val="22"/>
        </w:rPr>
        <w:t xml:space="preserve">H_script  =  2.5 × 3  =  7.5 h  ≈  1 working day</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Expression translation (Set Analysis → DAX)</w:t>
      </w:r>
    </w:p>
    <w:p>
      <w:pPr>
        <w:spacing w:after="120" w:before="60"/>
      </w:pPr>
      <w:r>
        <w:rPr>
          <w:rFonts w:ascii="Arial" w:cs="Arial" w:eastAsia="Arial" w:hAnsi="Arial"/>
          <w:sz w:val="22"/>
          <w:szCs w:val="22"/>
        </w:rPr>
        <w:t xml:space="preserve">Each expression must be understood in QlikView context and rewritten in DAX, requiring knowledge of F semantic model fields:</w:t>
      </w:r>
    </w:p>
    <w:p>
      <w:pPr>
        <w:spacing w:after="100" w:before="100"/>
        <w:jc w:val="center"/>
      </w:pPr>
      <w:r>
        <w:rPr>
          <w:rFonts w:ascii="Courier New" w:cs="Courier New" w:eastAsia="Courier New" w:hAnsi="Courier New"/>
          <w:b/>
          <w:bCs/>
          <w:color w:val="3C3489"/>
          <w:sz w:val="22"/>
          <w:szCs w:val="22"/>
        </w:rPr>
        <w:t xml:space="preserve">H_dax(E, F)  =  δ·E  +  ε·F  =  O(E + F)  ≈  O(E·F)  when F is unknown upfront</w:t>
      </w:r>
    </w:p>
    <w:p>
      <w:pPr>
        <w:spacing w:after="120" w:before="60"/>
      </w:pPr>
      <w:r>
        <w:rPr>
          <w:rFonts w:ascii="Arial" w:cs="Arial" w:eastAsia="Arial" w:hAnsi="Arial"/>
          <w:b/>
          <w:bCs/>
          <w:sz w:val="22"/>
          <w:szCs w:val="22"/>
        </w:rPr>
        <w:t xml:space="preserve">Airline Operations:</w:t>
      </w:r>
      <w:r>
        <w:rPr>
          <w:rFonts w:ascii="Arial" w:cs="Arial" w:eastAsia="Arial" w:hAnsi="Arial"/>
          <w:sz w:val="22"/>
          <w:szCs w:val="22"/>
        </w:rPr>
        <w:t xml:space="preserve">  δ = 0.2 h/expr,  ε = 0.15 h/field</w:t>
      </w:r>
    </w:p>
    <w:p>
      <w:pPr>
        <w:spacing w:after="100" w:before="100"/>
        <w:jc w:val="center"/>
      </w:pPr>
      <w:r>
        <w:rPr>
          <w:rFonts w:ascii="Courier New" w:cs="Courier New" w:eastAsia="Courier New" w:hAnsi="Courier New"/>
          <w:b/>
          <w:bCs/>
          <w:color w:val="3C3489"/>
          <w:sz w:val="22"/>
          <w:szCs w:val="22"/>
        </w:rPr>
        <w:t xml:space="preserve">H_dax  =  0.2 × 40  +  0.15 × 18  =  8.0  +  2.7  =  10.7 h  ≈  1.3 working days</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Visual reconstruction (Power BI Desktop)</w:t>
      </w:r>
    </w:p>
    <w:p>
      <w:pPr>
        <w:spacing w:after="120" w:before="60"/>
      </w:pPr>
      <w:r>
        <w:rPr>
          <w:rFonts w:ascii="Arial" w:cs="Arial" w:eastAsia="Arial" w:hAnsi="Arial"/>
          <w:sz w:val="22"/>
          <w:szCs w:val="22"/>
        </w:rPr>
        <w:t xml:space="preserve">Recreating each page layout and configuring visual objects in Power BI Desktop:</w:t>
      </w:r>
    </w:p>
    <w:p>
      <w:pPr>
        <w:spacing w:after="100" w:before="100"/>
        <w:jc w:val="center"/>
      </w:pPr>
      <w:r>
        <w:rPr>
          <w:rFonts w:ascii="Courier New" w:cs="Courier New" w:eastAsia="Courier New" w:hAnsi="Courier New"/>
          <w:b/>
          <w:bCs/>
          <w:color w:val="3C3489"/>
          <w:sz w:val="22"/>
          <w:szCs w:val="22"/>
        </w:rPr>
        <w:t xml:space="preserve">H_visual(n, P)  =  ζ·P  +  α·n  =  O(n + P)  ≈  O(n)  for typical P ≪ n</w:t>
      </w:r>
    </w:p>
    <w:p>
      <w:pPr>
        <w:spacing w:after="120" w:before="60"/>
      </w:pPr>
      <w:r>
        <w:rPr>
          <w:rFonts w:ascii="Arial" w:cs="Arial" w:eastAsia="Arial" w:hAnsi="Arial"/>
          <w:b/>
          <w:bCs/>
          <w:sz w:val="22"/>
          <w:szCs w:val="22"/>
        </w:rPr>
        <w:t xml:space="preserve">Airline Operations:</w:t>
      </w:r>
      <w:r>
        <w:rPr>
          <w:rFonts w:ascii="Arial" w:cs="Arial" w:eastAsia="Arial" w:hAnsi="Arial"/>
          <w:sz w:val="22"/>
          <w:szCs w:val="22"/>
        </w:rPr>
        <w:t xml:space="preserve">  ζ = 3 h/page</w:t>
      </w:r>
    </w:p>
    <w:p>
      <w:pPr>
        <w:spacing w:after="100" w:before="100"/>
        <w:jc w:val="center"/>
      </w:pPr>
      <w:r>
        <w:rPr>
          <w:rFonts w:ascii="Courier New" w:cs="Courier New" w:eastAsia="Courier New" w:hAnsi="Courier New"/>
          <w:b/>
          <w:bCs/>
          <w:color w:val="3C3489"/>
          <w:sz w:val="22"/>
          <w:szCs w:val="22"/>
        </w:rPr>
        <w:t xml:space="preserve">H_visual  =  3 × 2  +  0.375 × 22  =  6.0  +  8.25  =  14.25 h  ≈  1.8 working days</w:t>
      </w:r>
    </w:p>
    <w:p>
      <w:pPr>
        <w:spacing w:after="40" w:before="40"/>
      </w:pPr>
      <w:r>
        <w:t xml:space="preserve"/>
      </w:r>
    </w:p>
    <w:p>
      <w:pPr>
        <w:pStyle w:val="Heading2"/>
        <w:spacing w:after="140" w:before="280"/>
      </w:pPr>
      <w:r>
        <w:rPr>
          <w:rFonts w:ascii="Arial" w:cs="Arial" w:eastAsia="Arial" w:hAnsi="Arial"/>
          <w:b/>
          <w:bCs/>
          <w:color w:val="3C3489"/>
          <w:sz w:val="28"/>
          <w:szCs w:val="28"/>
        </w:rPr>
        <w:t xml:space="preserve">4.1.3  Total Manual Effort Model</w:t>
      </w:r>
    </w:p>
    <w:p>
      <w:pPr>
        <w:spacing w:after="120" w:before="60"/>
      </w:pPr>
      <w:r>
        <w:rPr>
          <w:rFonts w:ascii="Arial" w:cs="Arial" w:eastAsia="Arial" w:hAnsi="Arial"/>
          <w:sz w:val="22"/>
          <w:szCs w:val="22"/>
        </w:rPr>
        <w:t xml:space="preserve">The total manual migration effort is the sum of all four phases:</w:t>
      </w:r>
    </w:p>
    <w:p>
      <w:pPr>
        <w:spacing w:after="100" w:before="100"/>
        <w:jc w:val="center"/>
      </w:pPr>
      <w:r>
        <w:rPr>
          <w:rFonts w:ascii="Courier New" w:cs="Courier New" w:eastAsia="Courier New" w:hAnsi="Courier New"/>
          <w:b/>
          <w:bCs/>
          <w:color w:val="3C3489"/>
          <w:sz w:val="22"/>
          <w:szCs w:val="22"/>
        </w:rPr>
        <w:t xml:space="preserve">H_total(n, m, T, E, F, P)  =  H_meta + H_script + H_dax + H_visual</w:t>
      </w:r>
    </w:p>
    <w:p>
      <w:pPr>
        <w:spacing w:after="100" w:before="100"/>
        <w:jc w:val="center"/>
      </w:pPr>
      <w:r>
        <w:rPr>
          <w:rFonts w:ascii="Courier New" w:cs="Courier New" w:eastAsia="Courier New" w:hAnsi="Courier New"/>
          <w:b/>
          <w:bCs/>
          <w:color w:val="3C3489"/>
          <w:sz w:val="22"/>
          <w:szCs w:val="22"/>
        </w:rPr>
        <w:t xml:space="preserve">H_total  =  O(nm)  +  O(T)  +  O(E·F)  +  O(n)  =  O(nm + T + E·F)</w:t>
      </w:r>
    </w:p>
    <w:p>
      <w:pPr>
        <w:spacing w:after="40" w:before="40"/>
      </w:pPr>
      <w:r>
        <w:t xml:space="preserve"/>
      </w:r>
    </w:p>
    <w:p>
      <w:pPr>
        <w:spacing w:after="120" w:before="60"/>
      </w:pPr>
      <w:r>
        <w:rPr>
          <w:rFonts w:ascii="Arial" w:cs="Arial" w:eastAsia="Arial" w:hAnsi="Arial"/>
          <w:sz w:val="22"/>
          <w:szCs w:val="22"/>
        </w:rPr>
        <w:t xml:space="preserve">The dominant term is O(nm) — metadata documentation — because each of the n objects requires reviewing m XML attributes manually, a task that is entirely eliminated by the platform's automated DFS parsing. The second largest term in practice is O(E·F) — DAX translation — which grows with both expression count and semantic model complexity.</w:t>
      </w:r>
    </w:p>
    <w:p>
      <w:pPr>
        <w:spacing w:after="40" w:before="40"/>
      </w:pPr>
      <w:r>
        <w:t xml:space="preserve"/>
      </w:r>
    </w:p>
    <w:p>
      <w:pPr>
        <w:spacing w:after="120" w:before="60"/>
      </w:pPr>
      <w:r>
        <w:rPr>
          <w:rFonts w:ascii="Arial" w:cs="Arial" w:eastAsia="Arial" w:hAnsi="Arial"/>
          <w:b/>
          <w:bCs/>
          <w:sz w:val="22"/>
          <w:szCs w:val="22"/>
        </w:rPr>
        <w:t xml:space="preserve">Airline Operations — total manual estimate:</w:t>
      </w:r>
    </w:p>
    <w:p>
      <w:pPr>
        <w:spacing w:after="100" w:before="100"/>
        <w:jc w:val="center"/>
      </w:pPr>
      <w:r>
        <w:rPr>
          <w:rFonts w:ascii="Courier New" w:cs="Courier New" w:eastAsia="Courier New" w:hAnsi="Courier New"/>
          <w:b/>
          <w:bCs/>
          <w:color w:val="3C3489"/>
          <w:sz w:val="22"/>
          <w:szCs w:val="22"/>
        </w:rPr>
        <w:t xml:space="preserve">H_total  =  57.75 + 7.5 + 10.7 + 14.25  =  90.2 h  ≈  11.3 working days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800"/>
        <w:gridCol w:w="2826"/>
      </w:tblGrid>
      <w:tr>
        <w:tc>
          <w:tcPr>
            <w:tcW w:type="dxa" w:w="28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18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Complexity</w:t>
            </w:r>
          </w:p>
        </w:tc>
        <w:tc>
          <w:tcPr>
            <w:tcW w:type="dxa" w:w="18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Variables</w:t>
            </w:r>
          </w:p>
        </w:tc>
        <w:tc>
          <w:tcPr>
            <w:tcW w:type="dxa" w:w="18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Hours (AO)</w:t>
            </w:r>
          </w:p>
        </w:tc>
        <w:tc>
          <w:tcPr>
            <w:tcW w:type="dxa" w:w="2826"/>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Days (8h)</w:t>
            </w:r>
          </w:p>
        </w:tc>
      </w:tr>
      <w:tr>
        <w:tc>
          <w:tcPr>
            <w:tcW w:type="dxa" w:w="28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Metadata extraction &amp; documentation</w:t>
            </w:r>
          </w:p>
        </w:tc>
        <w:tc>
          <w:tcPr>
            <w:tcW w:type="dxa" w:w="18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center"/>
            </w:pPr>
            <w:r>
              <w:rPr>
                <w:rFonts w:ascii="Arial" w:cs="Arial" w:eastAsia="Arial" w:hAnsi="Arial"/>
                <w:b w:val="false"/>
                <w:bCs w:val="false"/>
                <w:color w:val="3C3489"/>
                <w:sz w:val="20"/>
                <w:szCs w:val="20"/>
              </w:rPr>
              <w:t xml:space="preserve">O(nm)</w:t>
            </w:r>
          </w:p>
        </w:tc>
        <w:tc>
          <w:tcPr>
            <w:tcW w:type="dxa" w:w="18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center"/>
            </w:pPr>
            <w:r>
              <w:rPr>
                <w:rFonts w:ascii="Arial" w:cs="Arial" w:eastAsia="Arial" w:hAnsi="Arial"/>
                <w:b w:val="false"/>
                <w:bCs w:val="false"/>
                <w:color w:val="534AB7"/>
                <w:sz w:val="20"/>
                <w:szCs w:val="20"/>
              </w:rPr>
              <w:t xml:space="preserve">n, m</w:t>
            </w:r>
          </w:p>
        </w:tc>
        <w:tc>
          <w:tcPr>
            <w:tcW w:type="dxa" w:w="18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57.75 h</w:t>
            </w:r>
          </w:p>
        </w:tc>
        <w:tc>
          <w:tcPr>
            <w:tcW w:type="dxa" w:w="2826"/>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~7.2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Script → M Query translation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C3489"/>
                <w:sz w:val="20"/>
                <w:szCs w:val="20"/>
              </w:rPr>
              <w:t xml:space="preserve">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34AB7"/>
                <w:sz w:val="20"/>
                <w:szCs w:val="20"/>
              </w:rPr>
              <w:t xml:space="preserv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7.5 h</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~1.0 day</w:t>
            </w:r>
          </w:p>
        </w:tc>
      </w:tr>
      <w:tr>
        <w:tc>
          <w:tcPr>
            <w:tcW w:type="dxa" w:w="28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Expressions → DAX translation</w:t>
            </w:r>
          </w:p>
        </w:tc>
        <w:tc>
          <w:tcPr>
            <w:tcW w:type="dxa" w:w="18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center"/>
            </w:pPr>
            <w:r>
              <w:rPr>
                <w:rFonts w:ascii="Arial" w:cs="Arial" w:eastAsia="Arial" w:hAnsi="Arial"/>
                <w:b w:val="false"/>
                <w:bCs w:val="false"/>
                <w:color w:val="3C3489"/>
                <w:sz w:val="20"/>
                <w:szCs w:val="20"/>
              </w:rPr>
              <w:t xml:space="preserve">O(E·F)</w:t>
            </w:r>
          </w:p>
        </w:tc>
        <w:tc>
          <w:tcPr>
            <w:tcW w:type="dxa" w:w="18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center"/>
            </w:pPr>
            <w:r>
              <w:rPr>
                <w:rFonts w:ascii="Arial" w:cs="Arial" w:eastAsia="Arial" w:hAnsi="Arial"/>
                <w:b w:val="false"/>
                <w:bCs w:val="false"/>
                <w:color w:val="534AB7"/>
                <w:sz w:val="20"/>
                <w:szCs w:val="20"/>
              </w:rPr>
              <w:t xml:space="preserve">E, F</w:t>
            </w:r>
          </w:p>
        </w:tc>
        <w:tc>
          <w:tcPr>
            <w:tcW w:type="dxa" w:w="1800"/>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10.7 h</w:t>
            </w:r>
          </w:p>
        </w:tc>
        <w:tc>
          <w:tcPr>
            <w:tcW w:type="dxa" w:w="2826"/>
            <w:tcBorders>
              <w:top w:val="single" w:color="CCCCCC" w:sz="1"/>
              <w:left w:val="single" w:color="CCCCCC" w:sz="1"/>
              <w:bottom w:val="single" w:color="CCCCCC" w:sz="1"/>
              <w:right w:val="single" w:color="CCCCCC" w:sz="1"/>
            </w:tcBorders>
            <w:shd w:fill="FFFAF8"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~1.3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Visual reconstruction (Power BI)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C3489"/>
                <w:sz w:val="20"/>
                <w:szCs w:val="20"/>
              </w:rPr>
              <w:t xml:space="preserve">O(n + 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34AB7"/>
                <w:sz w:val="20"/>
                <w:szCs w:val="20"/>
              </w:rPr>
              <w:t xml:space="preserve">n, 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14.25 h</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~1.8 days</w:t>
            </w:r>
          </w:p>
        </w:tc>
      </w:tr>
      <w:tr>
        <w:tc>
          <w:tcPr>
            <w:tcW w:type="dxa" w:w="2800"/>
            <w:tcBorders>
              <w:top w:val="single" w:color="CCCCCC" w:sz="1"/>
              <w:left w:val="single" w:color="CCCCCC" w:sz="1"/>
              <w:bottom w:val="single" w:color="CCCCCC" w:sz="1"/>
              <w:right w:val="single" w:color="CCCCCC" w:sz="1"/>
            </w:tcBorders>
            <w:shd w:fill="EDE9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TOTAL</w:t>
            </w:r>
          </w:p>
        </w:tc>
        <w:tc>
          <w:tcPr>
            <w:tcW w:type="dxa" w:w="1800"/>
            <w:tcBorders>
              <w:top w:val="single" w:color="CCCCCC" w:sz="1"/>
              <w:left w:val="single" w:color="CCCCCC" w:sz="1"/>
              <w:bottom w:val="single" w:color="CCCCCC" w:sz="1"/>
              <w:right w:val="single" w:color="CCCCCC" w:sz="1"/>
            </w:tcBorders>
            <w:shd w:fill="EDE9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O(nm + T + E·F)</w:t>
            </w:r>
          </w:p>
        </w:tc>
        <w:tc>
          <w:tcPr>
            <w:tcW w:type="dxa" w:w="1800"/>
            <w:tcBorders>
              <w:top w:val="single" w:color="CCCCCC" w:sz="1"/>
              <w:left w:val="single" w:color="CCCCCC" w:sz="1"/>
              <w:bottom w:val="single" w:color="CCCCCC" w:sz="1"/>
              <w:right w:val="single" w:color="CCCCCC" w:sz="1"/>
            </w:tcBorders>
            <w:shd w:fill="EDE9FF" w:val="clear"/>
            <w:tcMar>
              <w:top w:type="dxa" w:w="80"/>
              <w:left w:type="dxa" w:w="120"/>
              <w:bottom w:type="dxa" w:w="80"/>
              <w:right w:type="dxa" w:w="120"/>
            </w:tcMar>
          </w:tcPr>
          <w:p>
            <w:pPr>
              <w:jc w:val="center"/>
            </w:pPr>
            <w:r>
              <w:rPr>
                <w:rFonts w:ascii="Arial" w:cs="Arial" w:eastAsia="Arial" w:hAnsi="Arial"/>
                <w:b w:val="false"/>
                <w:bCs w:val="false"/>
                <w:color w:val="534AB7"/>
                <w:sz w:val="20"/>
                <w:szCs w:val="20"/>
              </w:rPr>
              <w:t xml:space="preserve">all</w:t>
            </w:r>
          </w:p>
        </w:tc>
        <w:tc>
          <w:tcPr>
            <w:tcW w:type="dxa" w:w="1800"/>
            <w:tcBorders>
              <w:top w:val="single" w:color="CCCCCC" w:sz="1"/>
              <w:left w:val="single" w:color="CCCCCC" w:sz="1"/>
              <w:bottom w:val="single" w:color="CCCCCC" w:sz="1"/>
              <w:right w:val="single" w:color="CCCCCC" w:sz="1"/>
            </w:tcBorders>
            <w:shd w:fill="EDE9FF"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90.2 h</w:t>
            </w:r>
          </w:p>
        </w:tc>
        <w:tc>
          <w:tcPr>
            <w:tcW w:type="dxa" w:w="2826"/>
            <w:tcBorders>
              <w:top w:val="single" w:color="CCCCCC" w:sz="1"/>
              <w:left w:val="single" w:color="CCCCCC" w:sz="1"/>
              <w:bottom w:val="single" w:color="CCCCCC" w:sz="1"/>
              <w:right w:val="single" w:color="CCCCCC" w:sz="1"/>
            </w:tcBorders>
            <w:shd w:fill="EDE9FF"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~11.3 days</w:t>
            </w:r>
          </w:p>
        </w:tc>
      </w:tr>
    </w:tbl>
    <w:p>
      <w:pPr>
        <w:spacing w:after="40" w:before="40"/>
      </w:pPr>
      <w:r>
        <w:t xml:space="preserve"/>
      </w:r>
    </w:p>
    <w:p>
      <w:pPr>
        <w:pStyle w:val="Heading1"/>
        <w:spacing w:after="180" w:before="400"/>
      </w:pPr>
      <w:r>
        <w:rPr>
          <w:rFonts w:ascii="Arial" w:cs="Arial" w:eastAsia="Arial" w:hAnsi="Arial"/>
          <w:b/>
          <w:bCs/>
          <w:color w:val="2E2B6E"/>
          <w:sz w:val="32"/>
          <w:szCs w:val="32"/>
        </w:rPr>
        <w:t xml:space="preserve">4.2  Automated Migration Effort Model</w:t>
      </w:r>
    </w:p>
    <w:p>
      <w:pPr>
        <w:spacing w:after="120" w:before="60"/>
      </w:pPr>
      <w:r>
        <w:rPr>
          <w:rFonts w:ascii="Arial" w:cs="Arial" w:eastAsia="Arial" w:hAnsi="Arial"/>
          <w:sz w:val="22"/>
          <w:szCs w:val="22"/>
        </w:rPr>
        <w:t xml:space="preserve">The automated pipeline evaluated in this section is </w:t>
      </w:r>
      <w:r>
        <w:rPr>
          <w:rFonts w:ascii="Arial" w:cs="Arial" w:eastAsia="Arial" w:hAnsi="Arial"/>
          <w:b/>
          <w:bCs/>
          <w:sz w:val="22"/>
          <w:szCs w:val="22"/>
        </w:rPr>
        <w:t xml:space="preserve">the automated migration platform</w:t>
      </w:r>
      <w:r>
        <w:rPr>
          <w:rFonts w:ascii="Arial" w:cs="Arial" w:eastAsia="Arial" w:hAnsi="Arial"/>
          <w:sz w:val="22"/>
          <w:szCs w:val="22"/>
        </w:rPr>
        <w:t xml:space="preserve"> — a seven-stage end-to-end platform that migrates QlikView reports to Microsoft Power BI without manual intervention. The pipeline covers: (1) automated GUI-based metadata extraction from QlikView DocumentAnalyzer; (2) recursive XML parsing and attribute flattening; (3) field-type mapping against a 93-entry lookup table; (4) QlikView Script to M Query translation via Retrieval-Augmented Generation (RAG) with GPT-4o; (5) Set Analysis to DAX translation with injected semantic model context; (6) PDF-to-PNG visual export with spatial metadata extraction; and (7) multi-source JSON synthesis — the consolidation of all intermediate artefacts (objects, DAX expressions, M Query tables, and page images) into three structured JSON files ready for Power BI consumption: enriched_dax.json, m_query_output.json, and report_pages.json.</w:t>
      </w:r>
    </w:p>
    <w:p>
      <w:pPr>
        <w:spacing w:after="40" w:before="40"/>
      </w:pPr>
      <w:r>
        <w:t xml:space="preserve"/>
      </w:r>
    </w:p>
    <w:p>
      <w:pPr>
        <w:spacing w:after="120" w:before="60"/>
      </w:pPr>
      <w:r>
        <w:rPr>
          <w:rFonts w:ascii="Arial" w:cs="Arial" w:eastAsia="Arial" w:hAnsi="Arial"/>
          <w:sz w:val="22"/>
          <w:szCs w:val="22"/>
        </w:rPr>
        <w:t xml:space="preserve">This section models the automated platform's execution cost using the </w:t>
      </w:r>
      <w:r>
        <w:rPr>
          <w:rFonts w:ascii="Arial" w:cs="Arial" w:eastAsia="Arial" w:hAnsi="Arial"/>
          <w:b/>
          <w:bCs/>
          <w:sz w:val="22"/>
          <w:szCs w:val="22"/>
        </w:rPr>
        <w:t xml:space="preserve">same variables and task decomposition</w:t>
      </w:r>
      <w:r>
        <w:rPr>
          <w:rFonts w:ascii="Arial" w:cs="Arial" w:eastAsia="Arial" w:hAnsi="Arial"/>
          <w:sz w:val="22"/>
          <w:szCs w:val="22"/>
        </w:rPr>
        <w:t xml:space="preserve"> as Section 4.1, expressing cost in pipeline minutes rather than person-hours. Unit times are derived from execution logs of the Airline Operations demo report. Big-O bounds are retained alongside observed times to show both theoretical growth rate and practical wall-clock cost.</w:t>
      </w:r>
    </w:p>
    <w:p>
      <w:pPr>
        <w:spacing w:after="40" w:before="40"/>
      </w:pPr>
      <w:r>
        <w:t xml:space="preserve"/>
      </w:r>
    </w:p>
    <w:p>
      <w:pPr>
        <w:pStyle w:val="Heading2"/>
        <w:spacing w:after="140" w:before="280"/>
      </w:pPr>
      <w:r>
        <w:rPr>
          <w:rFonts w:ascii="Arial" w:cs="Arial" w:eastAsia="Arial" w:hAnsi="Arial"/>
          <w:b/>
          <w:bCs/>
          <w:color w:val="3C3489"/>
          <w:sz w:val="28"/>
          <w:szCs w:val="28"/>
        </w:rPr>
        <w:t xml:space="preserve">4.2.1  Variables and Baseline Assumptions</w:t>
      </w:r>
    </w:p>
    <w:p>
      <w:pPr>
        <w:spacing w:after="120" w:before="60"/>
      </w:pPr>
      <w:r>
        <w:rPr>
          <w:rFonts w:ascii="Arial" w:cs="Arial" w:eastAsia="Arial" w:hAnsi="Arial"/>
          <w:sz w:val="22"/>
          <w:szCs w:val="22"/>
        </w:rPr>
        <w:t xml:space="preserve">the platform uses the same structural variables as the manual model. Observed execution times per unit are derived from the Airline Operations pipeline logs: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000"/>
        <w:gridCol w:w="1800"/>
        <w:gridCol w:w="1926"/>
      </w:tblGrid>
      <w:tr>
        <w:tc>
          <w:tcPr>
            <w:tcW w:type="dxa" w:w="9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24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Represents</w:t>
            </w:r>
          </w:p>
        </w:tc>
        <w:tc>
          <w:tcPr>
            <w:tcW w:type="dxa" w:w="20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AO value</w:t>
            </w:r>
          </w:p>
        </w:tc>
        <w:tc>
          <w:tcPr>
            <w:tcW w:type="dxa" w:w="18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1926"/>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Unit time (observed)</w:t>
            </w:r>
          </w:p>
        </w:tc>
      </w:tr>
      <w:tr>
        <w:tc>
          <w:tcPr>
            <w:tcW w:type="dxa" w:w="9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n</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Visual objects per report</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center"/>
            </w:pPr>
            <w:r>
              <w:rPr>
                <w:rFonts w:ascii="Arial" w:cs="Arial" w:eastAsia="Arial" w:hAnsi="Arial"/>
                <w:b/>
                <w:bCs/>
                <w:color w:val="085041"/>
                <w:sz w:val="20"/>
                <w:szCs w:val="20"/>
              </w:rPr>
              <w:t xml:space="preserve">22</w:t>
            </w:r>
          </w:p>
        </w:tc>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center"/>
            </w:pPr>
            <w:r>
              <w:rPr>
                <w:rFonts w:ascii="Arial" w:cs="Arial" w:eastAsia="Arial" w:hAnsi="Arial"/>
                <w:b w:val="false"/>
                <w:bCs w:val="false"/>
                <w:color w:val="534AB7"/>
                <w:sz w:val="20"/>
                <w:szCs w:val="20"/>
              </w:rPr>
              <w:t xml:space="preserve">E1–E3, E7</w:t>
            </w:r>
          </w:p>
        </w:tc>
        <w:tc>
          <w:tcPr>
            <w:tcW w:type="dxa" w:w="1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≈0.02 min / object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XML attributes per object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85041"/>
                <w:sz w:val="20"/>
                <w:szCs w:val="20"/>
              </w:rPr>
              <w:t xml:space="preserve">~30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34AB7"/>
                <w:sz w:val="20"/>
                <w:szCs w:val="20"/>
              </w:rPr>
              <w:t xml:space="preserve">E2–E3</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≈0.001 min / attr</w:t>
            </w:r>
          </w:p>
        </w:tc>
      </w:tr>
      <w:tr>
        <w:tc>
          <w:tcPr>
            <w:tcW w:type="dxa" w:w="9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T</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Script tabs</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center"/>
            </w:pPr>
            <w:r>
              <w:rPr>
                <w:rFonts w:ascii="Arial" w:cs="Arial" w:eastAsia="Arial" w:hAnsi="Arial"/>
                <w:b/>
                <w:bCs/>
                <w:color w:val="085041"/>
                <w:sz w:val="20"/>
                <w:szCs w:val="20"/>
              </w:rPr>
              <w:t xml:space="preserve">3</w:t>
            </w:r>
          </w:p>
        </w:tc>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center"/>
            </w:pPr>
            <w:r>
              <w:rPr>
                <w:rFonts w:ascii="Arial" w:cs="Arial" w:eastAsia="Arial" w:hAnsi="Arial"/>
                <w:b w:val="false"/>
                <w:bCs w:val="false"/>
                <w:color w:val="534AB7"/>
                <w:sz w:val="20"/>
                <w:szCs w:val="20"/>
              </w:rPr>
              <w:t xml:space="preserve">E4</w:t>
            </w:r>
          </w:p>
        </w:tc>
        <w:tc>
          <w:tcPr>
            <w:tcW w:type="dxa" w:w="1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≈1.2 min / tab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Visual expressions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85041"/>
                <w:sz w:val="20"/>
                <w:szCs w:val="20"/>
              </w:rPr>
              <w:t xml:space="preserve">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34AB7"/>
                <w:sz w:val="20"/>
                <w:szCs w:val="20"/>
              </w:rPr>
              <w:t xml:space="preserve">E5</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≈0.075 min / expr</w:t>
            </w:r>
          </w:p>
        </w:tc>
      </w:tr>
      <w:tr>
        <w:tc>
          <w:tcPr>
            <w:tcW w:type="dxa" w:w="9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F</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Semantic model fields</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center"/>
            </w:pPr>
            <w:r>
              <w:rPr>
                <w:rFonts w:ascii="Arial" w:cs="Arial" w:eastAsia="Arial" w:hAnsi="Arial"/>
                <w:b/>
                <w:bCs/>
                <w:color w:val="085041"/>
                <w:sz w:val="20"/>
                <w:szCs w:val="20"/>
              </w:rPr>
              <w:t xml:space="preserve">18</w:t>
            </w:r>
          </w:p>
        </w:tc>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center"/>
            </w:pPr>
            <w:r>
              <w:rPr>
                <w:rFonts w:ascii="Arial" w:cs="Arial" w:eastAsia="Arial" w:hAnsi="Arial"/>
                <w:b w:val="false"/>
                <w:bCs w:val="false"/>
                <w:color w:val="534AB7"/>
                <w:sz w:val="20"/>
                <w:szCs w:val="20"/>
              </w:rPr>
              <w:t xml:space="preserve">E5</w:t>
            </w:r>
          </w:p>
        </w:tc>
        <w:tc>
          <w:tcPr>
            <w:tcW w:type="dxa" w:w="1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context built once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Report pages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85041"/>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34AB7"/>
                <w:sz w:val="20"/>
                <w:szCs w:val="20"/>
              </w:rPr>
              <w:t xml:space="preserve">E6</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≈1 min / page</w:t>
            </w:r>
          </w:p>
        </w:tc>
      </w:tr>
      <w:tr>
        <w:tc>
          <w:tcPr>
            <w:tcW w:type="dxa" w:w="9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|RAG|</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RAG knowledge base size</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center"/>
            </w:pPr>
            <w:r>
              <w:rPr>
                <w:rFonts w:ascii="Arial" w:cs="Arial" w:eastAsia="Arial" w:hAnsi="Arial"/>
                <w:b/>
                <w:bCs/>
                <w:color w:val="085041"/>
                <w:sz w:val="20"/>
                <w:szCs w:val="20"/>
              </w:rPr>
              <w:t xml:space="preserve">45</w:t>
            </w:r>
          </w:p>
        </w:tc>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center"/>
            </w:pPr>
            <w:r>
              <w:rPr>
                <w:rFonts w:ascii="Arial" w:cs="Arial" w:eastAsia="Arial" w:hAnsi="Arial"/>
                <w:b w:val="false"/>
                <w:bCs w:val="false"/>
                <w:color w:val="534AB7"/>
                <w:sz w:val="20"/>
                <w:szCs w:val="20"/>
              </w:rPr>
              <w:t xml:space="preserve">E4</w:t>
            </w:r>
          </w:p>
        </w:tc>
        <w:tc>
          <w:tcPr>
            <w:tcW w:type="dxa" w:w="19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index built once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Embedding dimension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85041"/>
                <w:sz w:val="20"/>
                <w:szCs w:val="20"/>
              </w:rPr>
              <w:t xml:space="preserve">1,536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34AB7"/>
                <w:sz w:val="20"/>
                <w:szCs w:val="20"/>
              </w:rPr>
              <w:t xml:space="preserve">E4</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fixed constant</w:t>
            </w:r>
          </w:p>
        </w:tc>
      </w:tr>
    </w:tbl>
    <w:p>
      <w:pPr>
        <w:spacing w:after="40" w:before="40"/>
      </w:pPr>
      <w:r>
        <w:t xml:space="preserve"/>
      </w:r>
    </w:p>
    <w:p>
      <w:pPr>
        <w:pStyle w:val="Heading2"/>
        <w:spacing w:after="140" w:before="280"/>
      </w:pPr>
      <w:r>
        <w:rPr>
          <w:rFonts w:ascii="Arial" w:cs="Arial" w:eastAsia="Arial" w:hAnsi="Arial"/>
          <w:b/>
          <w:bCs/>
          <w:color w:val="3C3489"/>
          <w:sz w:val="28"/>
          <w:szCs w:val="28"/>
        </w:rPr>
        <w:t xml:space="preserve">4.2.2  Automated Effort Equations per Task</w:t>
      </w:r>
    </w:p>
    <w:p>
      <w:pPr>
        <w:spacing w:after="120" w:before="60"/>
      </w:pPr>
      <w:r>
        <w:rPr>
          <w:rFonts w:ascii="Arial" w:cs="Arial" w:eastAsia="Arial" w:hAnsi="Arial"/>
          <w:sz w:val="22"/>
          <w:szCs w:val="22"/>
        </w:rPr>
        <w:t xml:space="preserve">Each equation mirrors its counterpart in Section 4.1, now expressing automated time T_auto in minutes.</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Metadata extraction and documentation (Stages E1–E3)</w:t>
      </w:r>
    </w:p>
    <w:p>
      <w:pPr>
        <w:spacing w:after="120" w:before="60"/>
      </w:pPr>
      <w:r>
        <w:rPr>
          <w:rFonts w:ascii="Arial" w:cs="Arial" w:eastAsia="Arial" w:hAnsi="Arial"/>
          <w:sz w:val="22"/>
          <w:szCs w:val="22"/>
        </w:rPr>
        <w:t xml:space="preserve">GUI automation (E1) runs once per report. XML parsing (E2) and field mapping (E3) iterate over n objects × m attributes at machine speed:</w:t>
      </w:r>
    </w:p>
    <w:p>
      <w:pPr>
        <w:spacing w:after="100" w:before="100"/>
        <w:jc w:val="center"/>
      </w:pPr>
      <w:r>
        <w:rPr>
          <w:rFonts w:ascii="Courier New" w:cs="Courier New" w:eastAsia="Courier New" w:hAnsi="Courier New"/>
          <w:b/>
          <w:bCs/>
          <w:color w:val="3C3489"/>
          <w:sz w:val="22"/>
          <w:szCs w:val="22"/>
        </w:rPr>
        <w:t xml:space="preserve">T_meta(n, m)  =  α'·n  +  β'·n·m  =  O(nm)     [α' ≈ 0.02 min/obj,  β' ≈ 0.001 min/attr]</w:t>
      </w:r>
    </w:p>
    <w:p>
      <w:pPr>
        <w:spacing w:after="120" w:before="60"/>
      </w:pPr>
      <w:r>
        <w:rPr>
          <w:rFonts w:ascii="Arial" w:cs="Arial" w:eastAsia="Arial" w:hAnsi="Arial"/>
          <w:b/>
          <w:bCs/>
          <w:sz w:val="22"/>
          <w:szCs w:val="22"/>
        </w:rPr>
        <w:t xml:space="preserve">Airline Operations:</w:t>
      </w:r>
      <w:r>
        <w:rPr>
          <w:rFonts w:ascii="Arial" w:cs="Arial" w:eastAsia="Arial" w:hAnsi="Arial"/>
          <w:sz w:val="22"/>
          <w:szCs w:val="22"/>
        </w:rPr>
        <w:t xml:space="preserve">  0.02×22 + 0.001×22×30  =  0.44 + 0.66  =  1.1 min</w:t>
      </w:r>
    </w:p>
    <w:p>
      <w:pPr>
        <w:spacing w:after="120" w:before="60"/>
      </w:pPr>
      <w:r>
        <w:rPr>
          <w:rFonts w:ascii="Arial" w:cs="Arial" w:eastAsia="Arial" w:hAnsi="Arial"/>
          <w:b/>
          <w:bCs/>
          <w:color w:val="993C1D"/>
          <w:sz w:val="22"/>
          <w:szCs w:val="22"/>
        </w:rPr>
        <w:t xml:space="preserve">Compare with manual H_meta = 57.75 h = 3,465 min</w:t>
      </w:r>
      <w:r>
        <w:rPr>
          <w:rFonts w:ascii="Arial" w:cs="Arial" w:eastAsia="Arial" w:hAnsi="Arial"/>
          <w:sz w:val="22"/>
          <w:szCs w:val="22"/>
        </w:rPr>
        <w:t xml:space="preserve">  →  machine is ×3,150 faster on this task</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Script translation — Stage E4 (RAG retrieval + GPT-4o)</w:t>
      </w:r>
    </w:p>
    <w:p>
      <w:pPr>
        <w:spacing w:after="120" w:before="60"/>
      </w:pPr>
      <w:r>
        <w:rPr>
          <w:rFonts w:ascii="Arial" w:cs="Arial" w:eastAsia="Arial" w:hAnsi="Arial"/>
          <w:sz w:val="22"/>
          <w:szCs w:val="22"/>
        </w:rPr>
        <w:t xml:space="preserve">Each script tab is embedded and matched against the RAG index, then sent to GPT-4o. The dominant cost is API latency, modelled as proportional to T:</w:t>
      </w:r>
    </w:p>
    <w:p>
      <w:pPr>
        <w:spacing w:after="100" w:before="100"/>
        <w:jc w:val="center"/>
      </w:pPr>
      <w:r>
        <w:rPr>
          <w:rFonts w:ascii="Courier New" w:cs="Courier New" w:eastAsia="Courier New" w:hAnsi="Courier New"/>
          <w:b/>
          <w:bCs/>
          <w:color w:val="3C3489"/>
          <w:sz w:val="22"/>
          <w:szCs w:val="22"/>
        </w:rPr>
        <w:t xml:space="preserve">T_script(T)  =  γ'·T  =  O(T)     [γ' ≈ 1.2 min/tab,  includes embedding + retrieval + LLM call]</w:t>
      </w:r>
    </w:p>
    <w:p>
      <w:pPr>
        <w:spacing w:after="120" w:before="60"/>
      </w:pPr>
      <w:r>
        <w:rPr>
          <w:rFonts w:ascii="Arial" w:cs="Arial" w:eastAsia="Arial" w:hAnsi="Arial"/>
          <w:b/>
          <w:bCs/>
          <w:sz w:val="22"/>
          <w:szCs w:val="22"/>
        </w:rPr>
        <w:t xml:space="preserve">Airline Operations:</w:t>
      </w:r>
      <w:r>
        <w:rPr>
          <w:rFonts w:ascii="Arial" w:cs="Arial" w:eastAsia="Arial" w:hAnsi="Arial"/>
          <w:sz w:val="22"/>
          <w:szCs w:val="22"/>
        </w:rPr>
        <w:t xml:space="preserve">  1.2 × 3  =  3.6 min</w:t>
      </w:r>
    </w:p>
    <w:p>
      <w:pPr>
        <w:spacing w:after="120" w:before="60"/>
      </w:pPr>
      <w:r>
        <w:rPr>
          <w:rFonts w:ascii="Arial" w:cs="Arial" w:eastAsia="Arial" w:hAnsi="Arial"/>
          <w:i/>
          <w:iCs/>
          <w:color w:val="555555"/>
          <w:sz w:val="22"/>
          <w:szCs w:val="22"/>
        </w:rPr>
        <w:t xml:space="preserve">Note:</w:t>
      </w:r>
      <w:r>
        <w:rPr>
          <w:rFonts w:ascii="Arial" w:cs="Arial" w:eastAsia="Arial" w:hAnsi="Arial"/>
          <w:sz w:val="22"/>
          <w:szCs w:val="22"/>
        </w:rPr>
        <w:t xml:space="preserve">  underlying retrieval complexity is O(T·|RAG|·d) = 207,360 ops but executes in milliseconds; latency is dominated by the GPT-4o API round-trip (≈1–2 s/tab).</w:t>
      </w:r>
    </w:p>
    <w:p>
      <w:pPr>
        <w:spacing w:after="120" w:before="60"/>
      </w:pPr>
      <w:r>
        <w:rPr>
          <w:rFonts w:ascii="Arial" w:cs="Arial" w:eastAsia="Arial" w:hAnsi="Arial"/>
          <w:b/>
          <w:bCs/>
          <w:color w:val="993C1D"/>
          <w:sz w:val="22"/>
          <w:szCs w:val="22"/>
        </w:rPr>
        <w:t xml:space="preserve">Compare with manual H_script = 7.5 h = 450 min</w:t>
      </w:r>
      <w:r>
        <w:rPr>
          <w:rFonts w:ascii="Arial" w:cs="Arial" w:eastAsia="Arial" w:hAnsi="Arial"/>
          <w:sz w:val="22"/>
          <w:szCs w:val="22"/>
        </w:rPr>
        <w:t xml:space="preserve">  →  machine is ×125 faster on this task</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Expression translation — Stage E5 (DAX + semantic context)</w:t>
      </w:r>
    </w:p>
    <w:p>
      <w:pPr>
        <w:spacing w:after="120" w:before="60"/>
      </w:pPr>
      <w:r>
        <w:rPr>
          <w:rFonts w:ascii="Arial" w:cs="Arial" w:eastAsia="Arial" w:hAnsi="Arial"/>
          <w:sz w:val="22"/>
          <w:szCs w:val="22"/>
        </w:rPr>
        <w:t xml:space="preserve">Each of the E expressions is sent to GPT-4o with the F-field semantic model as context. Rate limiting adds O(E/150) wait time:</w:t>
      </w:r>
    </w:p>
    <w:p>
      <w:pPr>
        <w:spacing w:after="100" w:before="100"/>
        <w:jc w:val="center"/>
      </w:pPr>
      <w:r>
        <w:rPr>
          <w:rFonts w:ascii="Courier New" w:cs="Courier New" w:eastAsia="Courier New" w:hAnsi="Courier New"/>
          <w:b/>
          <w:bCs/>
          <w:color w:val="3C3489"/>
          <w:sz w:val="22"/>
          <w:szCs w:val="22"/>
        </w:rPr>
        <w:t xml:space="preserve">T_dax(E, F)  =  δ'·E  +  ε'·F  =  O(E + F)     [δ' ≈ 0.075 min/expr,  ε' ≈ 0 (context built once)]</w:t>
      </w:r>
    </w:p>
    <w:p>
      <w:pPr>
        <w:spacing w:after="120" w:before="60"/>
      </w:pPr>
      <w:r>
        <w:rPr>
          <w:rFonts w:ascii="Arial" w:cs="Arial" w:eastAsia="Arial" w:hAnsi="Arial"/>
          <w:b/>
          <w:bCs/>
          <w:sz w:val="22"/>
          <w:szCs w:val="22"/>
        </w:rPr>
        <w:t xml:space="preserve">Airline Operations:</w:t>
      </w:r>
      <w:r>
        <w:rPr>
          <w:rFonts w:ascii="Arial" w:cs="Arial" w:eastAsia="Arial" w:hAnsi="Arial"/>
          <w:sz w:val="22"/>
          <w:szCs w:val="22"/>
        </w:rPr>
        <w:t xml:space="preserve">  0.075 × 40  =  3.0 min</w:t>
      </w:r>
    </w:p>
    <w:p>
      <w:pPr>
        <w:spacing w:after="120" w:before="60"/>
      </w:pPr>
      <w:r>
        <w:rPr>
          <w:rFonts w:ascii="Arial" w:cs="Arial" w:eastAsia="Arial" w:hAnsi="Arial"/>
          <w:b/>
          <w:bCs/>
          <w:color w:val="993C1D"/>
          <w:sz w:val="22"/>
          <w:szCs w:val="22"/>
        </w:rPr>
        <w:t xml:space="preserve">Compare with manual H_dax = 10.7 h = 642 min</w:t>
      </w:r>
      <w:r>
        <w:rPr>
          <w:rFonts w:ascii="Arial" w:cs="Arial" w:eastAsia="Arial" w:hAnsi="Arial"/>
          <w:sz w:val="22"/>
          <w:szCs w:val="22"/>
        </w:rPr>
        <w:t xml:space="preserve">  →  machine is ×214 faster on this task</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Visual export — Stage E6 (PDF → PNG)</w:t>
      </w:r>
    </w:p>
    <w:p>
      <w:pPr>
        <w:spacing w:after="120" w:before="60"/>
      </w:pPr>
      <w:r>
        <w:rPr>
          <w:rFonts w:ascii="Arial" w:cs="Arial" w:eastAsia="Arial" w:hAnsi="Arial"/>
          <w:sz w:val="22"/>
          <w:szCs w:val="22"/>
        </w:rPr>
        <w:t xml:space="preserve">PyMuPDF renders each page at 300 DPI and applies background detection and cropping. Cost scales with P:</w:t>
      </w:r>
    </w:p>
    <w:p>
      <w:pPr>
        <w:spacing w:after="100" w:before="100"/>
        <w:jc w:val="center"/>
      </w:pPr>
      <w:r>
        <w:rPr>
          <w:rFonts w:ascii="Courier New" w:cs="Courier New" w:eastAsia="Courier New" w:hAnsi="Courier New"/>
          <w:b/>
          <w:bCs/>
          <w:color w:val="3C3489"/>
          <w:sz w:val="22"/>
          <w:szCs w:val="22"/>
        </w:rPr>
        <w:t xml:space="preserve">T_visual(P)  =  ζ'·P  =  O(P)     [ζ' ≈ 1 min/page,  includes render + crop + metadata extraction]</w:t>
      </w:r>
    </w:p>
    <w:p>
      <w:pPr>
        <w:spacing w:after="120" w:before="60"/>
      </w:pPr>
      <w:r>
        <w:rPr>
          <w:rFonts w:ascii="Arial" w:cs="Arial" w:eastAsia="Arial" w:hAnsi="Arial"/>
          <w:b/>
          <w:bCs/>
          <w:sz w:val="22"/>
          <w:szCs w:val="22"/>
        </w:rPr>
        <w:t xml:space="preserve">Airline Operations:</w:t>
      </w:r>
      <w:r>
        <w:rPr>
          <w:rFonts w:ascii="Arial" w:cs="Arial" w:eastAsia="Arial" w:hAnsi="Arial"/>
          <w:sz w:val="22"/>
          <w:szCs w:val="22"/>
        </w:rPr>
        <w:t xml:space="preserve">  1 × 2  =  2.0 min</w:t>
      </w:r>
    </w:p>
    <w:p>
      <w:pPr>
        <w:spacing w:after="120" w:before="60"/>
      </w:pPr>
      <w:r>
        <w:rPr>
          <w:rFonts w:ascii="Arial" w:cs="Arial" w:eastAsia="Arial" w:hAnsi="Arial"/>
          <w:b/>
          <w:bCs/>
          <w:color w:val="993C1D"/>
          <w:sz w:val="22"/>
          <w:szCs w:val="22"/>
        </w:rPr>
        <w:t xml:space="preserve">Compare with manual H_visual = 14.25 h = 855 min</w:t>
      </w:r>
      <w:r>
        <w:rPr>
          <w:rFonts w:ascii="Arial" w:cs="Arial" w:eastAsia="Arial" w:hAnsi="Arial"/>
          <w:sz w:val="22"/>
          <w:szCs w:val="22"/>
        </w:rPr>
        <w:t xml:space="preserve">  →  machine is ×428 faster on this task</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JSON synthesis — Stage E7</w:t>
      </w:r>
    </w:p>
    <w:p>
      <w:pPr>
        <w:spacing w:after="120" w:before="60"/>
      </w:pPr>
      <w:r>
        <w:rPr>
          <w:rFonts w:ascii="Arial" w:cs="Arial" w:eastAsia="Arial" w:hAnsi="Arial"/>
          <w:sz w:val="22"/>
          <w:szCs w:val="22"/>
        </w:rPr>
        <w:t xml:space="preserve">Stage E7 consolidates all upstream artefacts into three unified JSON files ready for Power BI consumption: </w:t>
      </w:r>
      <w:r>
        <w:rPr>
          <w:rFonts w:ascii="Courier New" w:cs="Courier New" w:eastAsia="Courier New" w:hAnsi="Courier New"/>
          <w:b/>
          <w:bCs/>
          <w:sz w:val="22"/>
          <w:szCs w:val="22"/>
        </w:rPr>
        <w:t xml:space="preserve">enriched_dax.json</w:t>
      </w:r>
      <w:r>
        <w:rPr>
          <w:rFonts w:ascii="Arial" w:cs="Arial" w:eastAsia="Arial" w:hAnsi="Arial"/>
          <w:sz w:val="22"/>
          <w:szCs w:val="22"/>
        </w:rPr>
        <w:t xml:space="preserve"> (objects with translated DAX measures), </w:t>
      </w:r>
      <w:r>
        <w:rPr>
          <w:rFonts w:ascii="Courier New" w:cs="Courier New" w:eastAsia="Courier New" w:hAnsi="Courier New"/>
          <w:b/>
          <w:bCs/>
          <w:sz w:val="22"/>
          <w:szCs w:val="22"/>
        </w:rPr>
        <w:t xml:space="preserve">m_query_output.json</w:t>
      </w:r>
      <w:r>
        <w:rPr>
          <w:rFonts w:ascii="Arial" w:cs="Arial" w:eastAsia="Arial" w:hAnsi="Arial"/>
          <w:sz w:val="22"/>
          <w:szCs w:val="22"/>
        </w:rPr>
        <w:t xml:space="preserve"> (M Query tables per data source), and </w:t>
      </w:r>
      <w:r>
        <w:rPr>
          <w:rFonts w:ascii="Courier New" w:cs="Courier New" w:eastAsia="Courier New" w:hAnsi="Courier New"/>
          <w:b/>
          <w:bCs/>
          <w:sz w:val="22"/>
          <w:szCs w:val="22"/>
        </w:rPr>
        <w:t xml:space="preserve">report_pages.json</w:t>
      </w:r>
      <w:r>
        <w:rPr>
          <w:rFonts w:ascii="Arial" w:cs="Arial" w:eastAsia="Arial" w:hAnsi="Arial"/>
          <w:sz w:val="22"/>
          <w:szCs w:val="22"/>
        </w:rPr>
        <w:t xml:space="preserve"> (page layout and spatial metadata). It performs multi-source left joins across six intermediate CSVs using pandas, with graceful degradation if any upstream stage is missing — ensuring partial results are always available even in incomplete pipeline runs.</w:t>
      </w:r>
    </w:p>
    <w:p>
      <w:pPr>
        <w:spacing w:after="120" w:before="60"/>
      </w:pPr>
      <w:r>
        <w:rPr>
          <w:rFonts w:ascii="Arial" w:cs="Arial" w:eastAsia="Arial" w:hAnsi="Arial"/>
          <w:sz w:val="22"/>
          <w:szCs w:val="22"/>
        </w:rPr>
        <w:t xml:space="preserve">Multi-source left joins and serialisation mirror the O(nm) cost of Stages E2–E3:</w:t>
      </w:r>
    </w:p>
    <w:p>
      <w:pPr>
        <w:spacing w:after="100" w:before="100"/>
        <w:jc w:val="center"/>
      </w:pPr>
      <w:r>
        <w:rPr>
          <w:rFonts w:ascii="Courier New" w:cs="Courier New" w:eastAsia="Courier New" w:hAnsi="Courier New"/>
          <w:b/>
          <w:bCs/>
          <w:color w:val="3C3489"/>
          <w:sz w:val="22"/>
          <w:szCs w:val="22"/>
        </w:rPr>
        <w:t xml:space="preserve">T_synth(n, m)  =  β'·n·m  =  O(nm)     [β' ≈ 0.001 min/attr]</w:t>
      </w:r>
    </w:p>
    <w:p>
      <w:pPr>
        <w:spacing w:after="120" w:before="60"/>
      </w:pPr>
      <w:r>
        <w:rPr>
          <w:rFonts w:ascii="Arial" w:cs="Arial" w:eastAsia="Arial" w:hAnsi="Arial"/>
          <w:b/>
          <w:bCs/>
          <w:sz w:val="22"/>
          <w:szCs w:val="22"/>
        </w:rPr>
        <w:t xml:space="preserve">Airline Operations:</w:t>
      </w:r>
      <w:r>
        <w:rPr>
          <w:rFonts w:ascii="Arial" w:cs="Arial" w:eastAsia="Arial" w:hAnsi="Arial"/>
          <w:sz w:val="22"/>
          <w:szCs w:val="22"/>
        </w:rPr>
        <w:t xml:space="preserve">  0.001 × 22 × 30  =  0.66 min  ≈  1 min</w:t>
      </w:r>
    </w:p>
    <w:p>
      <w:pPr>
        <w:spacing w:after="40" w:before="40"/>
      </w:pPr>
      <w:r>
        <w:t xml:space="preserve"/>
      </w:r>
    </w:p>
    <w:p>
      <w:pPr>
        <w:pStyle w:val="Heading2"/>
        <w:spacing w:after="140" w:before="280"/>
      </w:pPr>
      <w:r>
        <w:rPr>
          <w:rFonts w:ascii="Arial" w:cs="Arial" w:eastAsia="Arial" w:hAnsi="Arial"/>
          <w:b/>
          <w:bCs/>
          <w:color w:val="3C3489"/>
          <w:sz w:val="28"/>
          <w:szCs w:val="28"/>
        </w:rPr>
        <w:t xml:space="preserve">4.2.3  Total Automated Effort Model</w:t>
      </w:r>
    </w:p>
    <w:p>
      <w:pPr>
        <w:spacing w:after="120" w:before="60"/>
      </w:pPr>
      <w:r>
        <w:rPr>
          <w:rFonts w:ascii="Arial" w:cs="Arial" w:eastAsia="Arial" w:hAnsi="Arial"/>
          <w:sz w:val="22"/>
          <w:szCs w:val="22"/>
        </w:rPr>
        <w:t xml:space="preserve">The total automated pipeline time is:</w:t>
      </w:r>
    </w:p>
    <w:p>
      <w:pPr>
        <w:spacing w:after="100" w:before="100"/>
        <w:jc w:val="center"/>
      </w:pPr>
      <w:r>
        <w:rPr>
          <w:rFonts w:ascii="Courier New" w:cs="Courier New" w:eastAsia="Courier New" w:hAnsi="Courier New"/>
          <w:b/>
          <w:bCs/>
          <w:color w:val="3C3489"/>
          <w:sz w:val="22"/>
          <w:szCs w:val="22"/>
        </w:rPr>
        <w:t xml:space="preserve">T_auto(n, m, T, E, P)  =  T_meta + T_script + T_dax + T_visual + T_synth</w:t>
      </w:r>
    </w:p>
    <w:p>
      <w:pPr>
        <w:spacing w:after="100" w:before="100"/>
        <w:jc w:val="center"/>
      </w:pPr>
      <w:r>
        <w:rPr>
          <w:rFonts w:ascii="Courier New" w:cs="Courier New" w:eastAsia="Courier New" w:hAnsi="Courier New"/>
          <w:b/>
          <w:bCs/>
          <w:color w:val="3C3489"/>
          <w:sz w:val="22"/>
          <w:szCs w:val="22"/>
        </w:rPr>
        <w:t xml:space="preserve">T_auto  =  O(nm)  +  O(T)  +  O(E)  +  O(P)  ≈  O(nm + T + E + P)</w:t>
      </w:r>
    </w:p>
    <w:p>
      <w:pPr>
        <w:spacing w:after="40" w:before="40"/>
      </w:pPr>
      <w:r>
        <w:t xml:space="preserve"/>
      </w:r>
    </w:p>
    <w:p>
      <w:pPr>
        <w:spacing w:after="120" w:before="60"/>
      </w:pPr>
      <w:r>
        <w:rPr>
          <w:rFonts w:ascii="Arial" w:cs="Arial" w:eastAsia="Arial" w:hAnsi="Arial"/>
          <w:sz w:val="22"/>
          <w:szCs w:val="22"/>
        </w:rPr>
        <w:t xml:space="preserve">For the Airline Operations case:</w:t>
      </w:r>
    </w:p>
    <w:p>
      <w:pPr>
        <w:spacing w:after="100" w:before="100"/>
        <w:jc w:val="center"/>
      </w:pPr>
      <w:r>
        <w:rPr>
          <w:rFonts w:ascii="Courier New" w:cs="Courier New" w:eastAsia="Courier New" w:hAnsi="Courier New"/>
          <w:b/>
          <w:bCs/>
          <w:color w:val="3C3489"/>
          <w:sz w:val="22"/>
          <w:szCs w:val="22"/>
        </w:rPr>
        <w:t xml:space="preserve">T_auto  =  1.1 + 3.6 + 3.0 + 2.0 + 0.66  ≈  10.4 min  (≤ 13 min with API variability)</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800"/>
        <w:gridCol w:w="2026"/>
      </w:tblGrid>
      <w:tr>
        <w:tc>
          <w:tcPr>
            <w:tcW w:type="dxa" w:w="28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18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Complexity</w:t>
            </w:r>
          </w:p>
        </w:tc>
        <w:tc>
          <w:tcPr>
            <w:tcW w:type="dxa" w:w="18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Variables</w:t>
            </w:r>
          </w:p>
        </w:tc>
        <w:tc>
          <w:tcPr>
            <w:tcW w:type="dxa" w:w="18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Minutes (AO)</w:t>
            </w:r>
          </w:p>
        </w:tc>
        <w:tc>
          <w:tcPr>
            <w:tcW w:type="dxa" w:w="2026"/>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Manual equiv.</w:t>
            </w:r>
          </w:p>
        </w:tc>
      </w:tr>
      <w:tr>
        <w:tc>
          <w:tcPr>
            <w:tcW w:type="dxa" w:w="28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Metadata extraction &amp; parsing</w:t>
            </w:r>
          </w:p>
        </w:tc>
        <w:tc>
          <w:tcPr>
            <w:tcW w:type="dxa" w:w="18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val="false"/>
                <w:bCs w:val="false"/>
                <w:color w:val="3C3489"/>
                <w:sz w:val="20"/>
                <w:szCs w:val="20"/>
              </w:rPr>
              <w:t xml:space="preserve">O(nm)</w:t>
            </w:r>
          </w:p>
        </w:tc>
        <w:tc>
          <w:tcPr>
            <w:tcW w:type="dxa" w:w="18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val="false"/>
                <w:bCs w:val="false"/>
                <w:color w:val="534AB7"/>
                <w:sz w:val="20"/>
                <w:szCs w:val="20"/>
              </w:rPr>
              <w:t xml:space="preserve">n, m</w:t>
            </w:r>
          </w:p>
        </w:tc>
        <w:tc>
          <w:tcPr>
            <w:tcW w:type="dxa" w:w="18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val="false"/>
                <w:bCs w:val="false"/>
                <w:color w:val="085041"/>
                <w:sz w:val="20"/>
                <w:szCs w:val="20"/>
              </w:rPr>
              <w:t xml:space="preserve">1.1 min</w:t>
            </w:r>
          </w:p>
        </w:tc>
        <w:tc>
          <w:tcPr>
            <w:tcW w:type="dxa" w:w="2026"/>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57.75 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Script → M Query (RAG + LLM)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C3489"/>
                <w:sz w:val="20"/>
                <w:szCs w:val="20"/>
              </w:rPr>
              <w:t xml:space="preserve">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34AB7"/>
                <w:sz w:val="20"/>
                <w:szCs w:val="20"/>
              </w:rPr>
              <w:t xml:space="preserv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85041"/>
                <w:sz w:val="20"/>
                <w:szCs w:val="20"/>
              </w:rPr>
              <w:t xml:space="preserve">3.6 min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7.5 h</w:t>
            </w:r>
          </w:p>
        </w:tc>
      </w:tr>
      <w:tr>
        <w:tc>
          <w:tcPr>
            <w:tcW w:type="dxa" w:w="28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Expressions → DAX (LLM)</w:t>
            </w:r>
          </w:p>
        </w:tc>
        <w:tc>
          <w:tcPr>
            <w:tcW w:type="dxa" w:w="18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val="false"/>
                <w:bCs w:val="false"/>
                <w:color w:val="3C3489"/>
                <w:sz w:val="20"/>
                <w:szCs w:val="20"/>
              </w:rPr>
              <w:t xml:space="preserve">O(E)</w:t>
            </w:r>
          </w:p>
        </w:tc>
        <w:tc>
          <w:tcPr>
            <w:tcW w:type="dxa" w:w="18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val="false"/>
                <w:bCs w:val="false"/>
                <w:color w:val="534AB7"/>
                <w:sz w:val="20"/>
                <w:szCs w:val="20"/>
              </w:rPr>
              <w:t xml:space="preserve">E</w:t>
            </w:r>
          </w:p>
        </w:tc>
        <w:tc>
          <w:tcPr>
            <w:tcW w:type="dxa" w:w="18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val="false"/>
                <w:bCs w:val="false"/>
                <w:color w:val="085041"/>
                <w:sz w:val="20"/>
                <w:szCs w:val="20"/>
              </w:rPr>
              <w:t xml:space="preserve">3.0 min</w:t>
            </w:r>
          </w:p>
        </w:tc>
        <w:tc>
          <w:tcPr>
            <w:tcW w:type="dxa" w:w="2026"/>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10.7 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Visual export (PDF→PNG)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C3489"/>
                <w:sz w:val="20"/>
                <w:szCs w:val="20"/>
              </w:rPr>
              <w:t xml:space="preserve">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34AB7"/>
                <w:sz w:val="20"/>
                <w:szCs w:val="20"/>
              </w:rPr>
              <w:t xml:space="preserv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85041"/>
                <w:sz w:val="20"/>
                <w:szCs w:val="20"/>
              </w:rPr>
              <w:t xml:space="preserve">2.0 min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14.25 h</w:t>
            </w:r>
          </w:p>
        </w:tc>
      </w:tr>
      <w:tr>
        <w:tc>
          <w:tcPr>
            <w:tcW w:type="dxa" w:w="28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JSON synthesis (E7) — merge all artefacts into enriched_dax.json, m_query_output.json, report_pages.json</w:t>
            </w:r>
          </w:p>
        </w:tc>
        <w:tc>
          <w:tcPr>
            <w:tcW w:type="dxa" w:w="18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val="false"/>
                <w:bCs w:val="false"/>
                <w:color w:val="3C3489"/>
                <w:sz w:val="20"/>
                <w:szCs w:val="20"/>
              </w:rPr>
              <w:t xml:space="preserve">O(nm)</w:t>
            </w:r>
          </w:p>
        </w:tc>
        <w:tc>
          <w:tcPr>
            <w:tcW w:type="dxa" w:w="18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val="false"/>
                <w:bCs w:val="false"/>
                <w:color w:val="534AB7"/>
                <w:sz w:val="20"/>
                <w:szCs w:val="20"/>
              </w:rPr>
              <w:t xml:space="preserve">n, m</w:t>
            </w:r>
          </w:p>
        </w:tc>
        <w:tc>
          <w:tcPr>
            <w:tcW w:type="dxa" w:w="18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val="false"/>
                <w:bCs w:val="false"/>
                <w:color w:val="085041"/>
                <w:sz w:val="20"/>
                <w:szCs w:val="20"/>
              </w:rPr>
              <w:t xml:space="preserve">0.66 min</w:t>
            </w:r>
          </w:p>
        </w:tc>
        <w:tc>
          <w:tcPr>
            <w:tcW w:type="dxa" w:w="2026"/>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n/a</w:t>
            </w:r>
          </w:p>
        </w:tc>
      </w:tr>
      <w:tr>
        <w:tc>
          <w:tcPr>
            <w:tcW w:type="dxa" w:w="2800"/>
            <w:tcBorders>
              <w:top w:val="single" w:color="CCCCCC" w:sz="1"/>
              <w:left w:val="single" w:color="CCCCCC" w:sz="1"/>
              <w:bottom w:val="single" w:color="CCCCCC" w:sz="1"/>
              <w:right w:val="single" w:color="CCCCCC" w:sz="1"/>
            </w:tcBorders>
            <w:shd w:fill="EDE9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TOTAL</w:t>
            </w:r>
          </w:p>
        </w:tc>
        <w:tc>
          <w:tcPr>
            <w:tcW w:type="dxa" w:w="1800"/>
            <w:tcBorders>
              <w:top w:val="single" w:color="CCCCCC" w:sz="1"/>
              <w:left w:val="single" w:color="CCCCCC" w:sz="1"/>
              <w:bottom w:val="single" w:color="CCCCCC" w:sz="1"/>
              <w:right w:val="single" w:color="CCCCCC" w:sz="1"/>
            </w:tcBorders>
            <w:shd w:fill="EDE9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O(nm + T + E + P)</w:t>
            </w:r>
          </w:p>
        </w:tc>
        <w:tc>
          <w:tcPr>
            <w:tcW w:type="dxa" w:w="1800"/>
            <w:tcBorders>
              <w:top w:val="single" w:color="CCCCCC" w:sz="1"/>
              <w:left w:val="single" w:color="CCCCCC" w:sz="1"/>
              <w:bottom w:val="single" w:color="CCCCCC" w:sz="1"/>
              <w:right w:val="single" w:color="CCCCCC" w:sz="1"/>
            </w:tcBorders>
            <w:shd w:fill="EDE9FF" w:val="clear"/>
            <w:tcMar>
              <w:top w:type="dxa" w:w="80"/>
              <w:left w:type="dxa" w:w="120"/>
              <w:bottom w:type="dxa" w:w="80"/>
              <w:right w:type="dxa" w:w="120"/>
            </w:tcMar>
          </w:tcPr>
          <w:p>
            <w:pPr>
              <w:jc w:val="center"/>
            </w:pPr>
            <w:r>
              <w:rPr>
                <w:rFonts w:ascii="Arial" w:cs="Arial" w:eastAsia="Arial" w:hAnsi="Arial"/>
                <w:b w:val="false"/>
                <w:bCs w:val="false"/>
                <w:color w:val="534AB7"/>
                <w:sz w:val="20"/>
                <w:szCs w:val="20"/>
              </w:rPr>
              <w:t xml:space="preserve">all</w:t>
            </w:r>
          </w:p>
        </w:tc>
        <w:tc>
          <w:tcPr>
            <w:tcW w:type="dxa" w:w="1800"/>
            <w:tcBorders>
              <w:top w:val="single" w:color="CCCCCC" w:sz="1"/>
              <w:left w:val="single" w:color="CCCCCC" w:sz="1"/>
              <w:bottom w:val="single" w:color="CCCCCC" w:sz="1"/>
              <w:right w:val="single" w:color="CCCCCC" w:sz="1"/>
            </w:tcBorders>
            <w:shd w:fill="EDE9FF" w:val="clear"/>
            <w:tcMar>
              <w:top w:type="dxa" w:w="80"/>
              <w:left w:type="dxa" w:w="120"/>
              <w:bottom w:type="dxa" w:w="80"/>
              <w:right w:type="dxa" w:w="120"/>
            </w:tcMar>
          </w:tcPr>
          <w:p>
            <w:pPr>
              <w:jc w:val="center"/>
            </w:pPr>
            <w:r>
              <w:rPr>
                <w:rFonts w:ascii="Arial" w:cs="Arial" w:eastAsia="Arial" w:hAnsi="Arial"/>
                <w:b/>
                <w:bCs/>
                <w:color w:val="085041"/>
                <w:sz w:val="20"/>
                <w:szCs w:val="20"/>
              </w:rPr>
              <w:t xml:space="preserve">≈10.4 min</w:t>
            </w:r>
          </w:p>
        </w:tc>
        <w:tc>
          <w:tcPr>
            <w:tcW w:type="dxa" w:w="2026"/>
            <w:tcBorders>
              <w:top w:val="single" w:color="CCCCCC" w:sz="1"/>
              <w:left w:val="single" w:color="CCCCCC" w:sz="1"/>
              <w:bottom w:val="single" w:color="CCCCCC" w:sz="1"/>
              <w:right w:val="single" w:color="CCCCCC" w:sz="1"/>
            </w:tcBorders>
            <w:shd w:fill="EDE9FF"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~90.2 h</w:t>
            </w:r>
          </w:p>
        </w:tc>
      </w:tr>
    </w:tbl>
    <w:p>
      <w:pPr>
        <w:spacing w:after="40" w:before="40"/>
      </w:pPr>
      <w:r>
        <w:t xml:space="preserve"/>
      </w:r>
    </w:p>
    <w:p>
      <w:pPr>
        <w:pStyle w:val="Heading1"/>
        <w:spacing w:after="180" w:before="400"/>
      </w:pPr>
      <w:r>
        <w:rPr>
          <w:rFonts w:ascii="Arial" w:cs="Arial" w:eastAsia="Arial" w:hAnsi="Arial"/>
          <w:b/>
          <w:bCs/>
          <w:color w:val="2E2B6E"/>
          <w:sz w:val="32"/>
          <w:szCs w:val="32"/>
        </w:rPr>
        <w:t xml:space="preserve">4.3  Comparison: Manual Effort vs. Automated Pipeline</w:t>
      </w:r>
    </w:p>
    <w:p>
      <w:pPr>
        <w:spacing w:after="120" w:before="60"/>
      </w:pPr>
      <w:r>
        <w:rPr>
          <w:rFonts w:ascii="Arial" w:cs="Arial" w:eastAsia="Arial" w:hAnsi="Arial"/>
          <w:sz w:val="22"/>
          <w:szCs w:val="22"/>
        </w:rPr>
        <w:t xml:space="preserve">Sections 3.1 and 3.2 derived effort and complexity models using the same variables. This section brings them together to quantify the speedup formally and identify which tasks drive the largest gains.</w:t>
      </w:r>
    </w:p>
    <w:p>
      <w:pPr>
        <w:spacing w:after="40" w:before="40"/>
      </w:pPr>
      <w:r>
        <w:t xml:space="preserve"/>
      </w:r>
    </w:p>
    <w:p>
      <w:pPr>
        <w:pStyle w:val="Heading2"/>
        <w:spacing w:after="140" w:before="280"/>
      </w:pPr>
      <w:r>
        <w:rPr>
          <w:rFonts w:ascii="Arial" w:cs="Arial" w:eastAsia="Arial" w:hAnsi="Arial"/>
          <w:b/>
          <w:bCs/>
          <w:color w:val="3C3489"/>
          <w:sz w:val="28"/>
          <w:szCs w:val="28"/>
        </w:rPr>
        <w:t xml:space="preserve">4.3.1  Side-by-Side Complexity</w:t>
      </w:r>
    </w:p>
    <w:p>
      <w:pPr>
        <w:spacing w:after="120" w:before="60"/>
      </w:pPr>
      <w:r>
        <w:rPr>
          <w:rFonts w:ascii="Arial" w:cs="Arial" w:eastAsia="Arial" w:hAnsi="Arial"/>
          <w:sz w:val="22"/>
          <w:szCs w:val="22"/>
        </w:rPr>
        <w:t xml:space="preserve">The table below aligns the manual effort model (Section 4.1) against the automated pipeline complexity (Section 4.2) task by task, using the Airline Operations values: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600"/>
        <w:gridCol w:w="1600"/>
        <w:gridCol w:w="1026"/>
      </w:tblGrid>
      <w:tr>
        <w:tc>
          <w:tcPr>
            <w:tcW w:type="dxa" w:w="22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13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Manual complexity</w:t>
            </w:r>
          </w:p>
        </w:tc>
        <w:tc>
          <w:tcPr>
            <w:tcW w:type="dxa" w:w="13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Auto complexity</w:t>
            </w:r>
          </w:p>
        </w:tc>
        <w:tc>
          <w:tcPr>
            <w:tcW w:type="dxa" w:w="16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Manual (AO)</w:t>
            </w:r>
          </w:p>
        </w:tc>
        <w:tc>
          <w:tcPr>
            <w:tcW w:type="dxa" w:w="16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Auto (AO)</w:t>
            </w:r>
          </w:p>
        </w:tc>
        <w:tc>
          <w:tcPr>
            <w:tcW w:type="dxa" w:w="1026"/>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Speedup</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Metadata &amp; documentation</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O(nm)</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085041"/>
                <w:sz w:val="20"/>
                <w:szCs w:val="20"/>
              </w:rPr>
              <w:t xml:space="preserve">O(nm) E1–E3</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57.75 h</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085041"/>
                <w:sz w:val="20"/>
                <w:szCs w:val="20"/>
              </w:rPr>
              <w:t xml:space="preserve">&lt; 8 min</w:t>
            </w:r>
          </w:p>
        </w:tc>
        <w:tc>
          <w:tcPr>
            <w:tcW w:type="dxa" w:w="1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×430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Script → M Query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O(T)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85041"/>
                <w:sz w:val="20"/>
                <w:szCs w:val="20"/>
              </w:rPr>
              <w:t xml:space="preserve">O(T·|RAG|·d) 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7.5 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85041"/>
                <w:sz w:val="20"/>
                <w:szCs w:val="20"/>
              </w:rPr>
              <w:t xml:space="preserve">3–4 min</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×120</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Expressions → DAX</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O(E·F)</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085041"/>
                <w:sz w:val="20"/>
                <w:szCs w:val="20"/>
              </w:rPr>
              <w:t xml:space="preserve">O(E·F) E5</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10.7 h</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085041"/>
                <w:sz w:val="20"/>
                <w:szCs w:val="20"/>
              </w:rPr>
              <w:t xml:space="preserve">3–4 min</w:t>
            </w:r>
          </w:p>
        </w:tc>
        <w:tc>
          <w:tcPr>
            <w:tcW w:type="dxa" w:w="1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×160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Visual reconstruction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O(n + 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85041"/>
                <w:sz w:val="20"/>
                <w:szCs w:val="20"/>
              </w:rPr>
              <w:t xml:space="preserve">O(P·W·H) 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14.25 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85041"/>
                <w:sz w:val="20"/>
                <w:szCs w:val="20"/>
              </w:rPr>
              <w:t xml:space="preserve">2 min</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×427</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Synthesis / output</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O(nm)</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085041"/>
                <w:sz w:val="20"/>
                <w:szCs w:val="20"/>
              </w:rPr>
              <w:t xml:space="preserve">O(nm) E7</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n/a (manual)</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085041"/>
                <w:sz w:val="20"/>
                <w:szCs w:val="20"/>
              </w:rPr>
              <w:t xml:space="preserve">1 min</w:t>
            </w:r>
          </w:p>
        </w:tc>
        <w:tc>
          <w:tcPr>
            <w:tcW w:type="dxa" w:w="1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w:t>
            </w:r>
          </w:p>
        </w:tc>
      </w:tr>
      <w:tr>
        <w:tc>
          <w:tcPr>
            <w:tcW w:type="dxa" w:w="2200"/>
            <w:tcBorders>
              <w:top w:val="single" w:color="CCCCCC" w:sz="1"/>
              <w:left w:val="single" w:color="CCCCCC" w:sz="1"/>
              <w:bottom w:val="single" w:color="CCCCCC" w:sz="1"/>
              <w:right w:val="single" w:color="CCCCCC" w:sz="1"/>
            </w:tcBorders>
            <w:shd w:fill="EDE9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TOTAL</w:t>
            </w:r>
          </w:p>
        </w:tc>
        <w:tc>
          <w:tcPr>
            <w:tcW w:type="dxa" w:w="1300"/>
            <w:tcBorders>
              <w:top w:val="single" w:color="CCCCCC" w:sz="1"/>
              <w:left w:val="single" w:color="CCCCCC" w:sz="1"/>
              <w:bottom w:val="single" w:color="CCCCCC" w:sz="1"/>
              <w:right w:val="single" w:color="CCCCCC" w:sz="1"/>
            </w:tcBorders>
            <w:shd w:fill="EDE9FF" w:val="clear"/>
            <w:tcMar>
              <w:top w:type="dxa" w:w="80"/>
              <w:left w:type="dxa" w:w="120"/>
              <w:bottom w:type="dxa" w:w="80"/>
              <w:right w:type="dxa" w:w="120"/>
            </w:tcMar>
          </w:tcPr>
          <w:p>
            <w:pPr>
              <w:jc w:val="center"/>
            </w:pPr>
            <w:r>
              <w:rPr>
                <w:rFonts w:ascii="Arial" w:cs="Arial" w:eastAsia="Arial" w:hAnsi="Arial"/>
                <w:b w:val="false"/>
                <w:bCs w:val="false"/>
                <w:color w:val="993C1D"/>
                <w:sz w:val="20"/>
                <w:szCs w:val="20"/>
              </w:rPr>
              <w:t xml:space="preserve">O(nm + T + E·F)</w:t>
            </w:r>
          </w:p>
        </w:tc>
        <w:tc>
          <w:tcPr>
            <w:tcW w:type="dxa" w:w="1300"/>
            <w:tcBorders>
              <w:top w:val="single" w:color="CCCCCC" w:sz="1"/>
              <w:left w:val="single" w:color="CCCCCC" w:sz="1"/>
              <w:bottom w:val="single" w:color="CCCCCC" w:sz="1"/>
              <w:right w:val="single" w:color="CCCCCC" w:sz="1"/>
            </w:tcBorders>
            <w:shd w:fill="EDE9FF" w:val="clear"/>
            <w:tcMar>
              <w:top w:type="dxa" w:w="80"/>
              <w:left w:type="dxa" w:w="120"/>
              <w:bottom w:type="dxa" w:w="80"/>
              <w:right w:type="dxa" w:w="120"/>
            </w:tcMar>
          </w:tcPr>
          <w:p>
            <w:pPr>
              <w:jc w:val="center"/>
            </w:pPr>
            <w:r>
              <w:rPr>
                <w:rFonts w:ascii="Arial" w:cs="Arial" w:eastAsia="Arial" w:hAnsi="Arial"/>
                <w:b w:val="false"/>
                <w:bCs w:val="false"/>
                <w:color w:val="085041"/>
                <w:sz w:val="20"/>
                <w:szCs w:val="20"/>
              </w:rPr>
              <w:t xml:space="preserve">O(T·|RAG|·d)</w:t>
            </w:r>
          </w:p>
        </w:tc>
        <w:tc>
          <w:tcPr>
            <w:tcW w:type="dxa" w:w="1600"/>
            <w:tcBorders>
              <w:top w:val="single" w:color="CCCCCC" w:sz="1"/>
              <w:left w:val="single" w:color="CCCCCC" w:sz="1"/>
              <w:bottom w:val="single" w:color="CCCCCC" w:sz="1"/>
              <w:right w:val="single" w:color="CCCCCC" w:sz="1"/>
            </w:tcBorders>
            <w:shd w:fill="EDE9FF"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~90 h</w:t>
            </w:r>
          </w:p>
        </w:tc>
        <w:tc>
          <w:tcPr>
            <w:tcW w:type="dxa" w:w="1600"/>
            <w:tcBorders>
              <w:top w:val="single" w:color="CCCCCC" w:sz="1"/>
              <w:left w:val="single" w:color="CCCCCC" w:sz="1"/>
              <w:bottom w:val="single" w:color="CCCCCC" w:sz="1"/>
              <w:right w:val="single" w:color="CCCCCC" w:sz="1"/>
            </w:tcBorders>
            <w:shd w:fill="EDE9FF" w:val="clear"/>
            <w:tcMar>
              <w:top w:type="dxa" w:w="80"/>
              <w:left w:type="dxa" w:w="120"/>
              <w:bottom w:type="dxa" w:w="80"/>
              <w:right w:type="dxa" w:w="120"/>
            </w:tcMar>
          </w:tcPr>
          <w:p>
            <w:pPr>
              <w:jc w:val="center"/>
            </w:pPr>
            <w:r>
              <w:rPr>
                <w:rFonts w:ascii="Arial" w:cs="Arial" w:eastAsia="Arial" w:hAnsi="Arial"/>
                <w:b/>
                <w:bCs/>
                <w:color w:val="085041"/>
                <w:sz w:val="20"/>
                <w:szCs w:val="20"/>
              </w:rPr>
              <w:t xml:space="preserve">~13 min</w:t>
            </w:r>
          </w:p>
        </w:tc>
        <w:tc>
          <w:tcPr>
            <w:tcW w:type="dxa" w:w="1026"/>
            <w:tcBorders>
              <w:top w:val="single" w:color="CCCCCC" w:sz="1"/>
              <w:left w:val="single" w:color="CCCCCC" w:sz="1"/>
              <w:bottom w:val="single" w:color="CCCCCC" w:sz="1"/>
              <w:right w:val="single" w:color="CCCCCC" w:sz="1"/>
            </w:tcBorders>
            <w:shd w:fill="EDE9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×≈415</w:t>
            </w:r>
          </w:p>
        </w:tc>
      </w:tr>
    </w:tbl>
    <w:p>
      <w:pPr>
        <w:spacing w:after="40" w:before="40"/>
      </w:pPr>
      <w:r>
        <w:t xml:space="preserve"/>
      </w:r>
    </w:p>
    <w:p>
      <w:pPr>
        <w:pStyle w:val="Heading2"/>
        <w:spacing w:after="140" w:before="280"/>
      </w:pPr>
      <w:r>
        <w:rPr>
          <w:rFonts w:ascii="Arial" w:cs="Arial" w:eastAsia="Arial" w:hAnsi="Arial"/>
          <w:b/>
          <w:bCs/>
          <w:color w:val="3C3489"/>
          <w:sz w:val="28"/>
          <w:szCs w:val="28"/>
        </w:rPr>
        <w:t xml:space="preserve">4.3.2  Formal Speedup</w:t>
      </w:r>
    </w:p>
    <w:p>
      <w:pPr>
        <w:spacing w:after="120" w:before="60"/>
      </w:pPr>
      <w:r>
        <w:rPr>
          <w:rFonts w:ascii="Arial" w:cs="Arial" w:eastAsia="Arial" w:hAnsi="Arial"/>
          <w:sz w:val="22"/>
          <w:szCs w:val="22"/>
        </w:rPr>
        <w:t xml:space="preserve">The speedup S is defined as the ratio of manual effort to automated pipeline runtime. Expressing both in the same unit (hours):</w:t>
      </w:r>
    </w:p>
    <w:p>
      <w:pPr>
        <w:spacing w:after="100" w:before="100"/>
        <w:jc w:val="center"/>
      </w:pPr>
      <w:r>
        <w:rPr>
          <w:rFonts w:ascii="Courier New" w:cs="Courier New" w:eastAsia="Courier New" w:hAnsi="Courier New"/>
          <w:b/>
          <w:bCs/>
          <w:color w:val="3C3489"/>
          <w:sz w:val="22"/>
          <w:szCs w:val="22"/>
        </w:rPr>
        <w:t xml:space="preserve">S  =  H_total / T_auto  =  O(nm + T + E·F)  /  O(T·|RAG|·d)</w:t>
      </w:r>
    </w:p>
    <w:p>
      <w:pPr>
        <w:spacing w:after="40" w:before="40"/>
      </w:pPr>
      <w:r>
        <w:t xml:space="preserve"/>
      </w:r>
    </w:p>
    <w:p>
      <w:pPr>
        <w:spacing w:after="120" w:before="60"/>
      </w:pPr>
      <w:r>
        <w:rPr>
          <w:rFonts w:ascii="Arial" w:cs="Arial" w:eastAsia="Arial" w:hAnsi="Arial"/>
          <w:sz w:val="22"/>
          <w:szCs w:val="22"/>
        </w:rPr>
        <w:t xml:space="preserve">For the Airline Operations case:</w:t>
      </w:r>
    </w:p>
    <w:p>
      <w:pPr>
        <w:spacing w:after="100" w:before="100"/>
        <w:jc w:val="center"/>
      </w:pPr>
      <w:r>
        <w:rPr>
          <w:rFonts w:ascii="Courier New" w:cs="Courier New" w:eastAsia="Courier New" w:hAnsi="Courier New"/>
          <w:b/>
          <w:bCs/>
          <w:color w:val="3C3489"/>
          <w:sz w:val="22"/>
          <w:szCs w:val="22"/>
        </w:rPr>
        <w:t xml:space="preserve">S  =  90.2 h  /  (13/60) h  =  90.2 / 0.217  ≈  416×  faster</w:t>
      </w:r>
    </w:p>
    <w:p>
      <w:pPr>
        <w:spacing w:after="40" w:before="40"/>
      </w:pPr>
      <w:r>
        <w:t xml:space="preserve"/>
      </w:r>
    </w:p>
    <w:p>
      <w:pPr>
        <w:spacing w:after="120" w:before="60"/>
      </w:pPr>
      <w:r>
        <w:rPr>
          <w:rFonts w:ascii="Arial" w:cs="Arial" w:eastAsia="Arial" w:hAnsi="Arial"/>
          <w:sz w:val="22"/>
          <w:szCs w:val="22"/>
        </w:rPr>
        <w:t xml:space="preserve">Expressed as a percentage reduction in effort:</w:t>
      </w:r>
    </w:p>
    <w:p>
      <w:pPr>
        <w:spacing w:after="100" w:before="100"/>
        <w:jc w:val="center"/>
      </w:pPr>
      <w:r>
        <w:rPr>
          <w:rFonts w:ascii="Courier New" w:cs="Courier New" w:eastAsia="Courier New" w:hAnsi="Courier New"/>
          <w:b/>
          <w:bCs/>
          <w:color w:val="3C3489"/>
          <w:sz w:val="22"/>
          <w:szCs w:val="22"/>
        </w:rPr>
        <w:t xml:space="preserve">Reduction  =  1 − (T_auto / H_total)  =  1 − (0.217 / 90.2)  =  99.76%</w:t>
      </w:r>
    </w:p>
    <w:p>
      <w:pPr>
        <w:spacing w:after="40" w:before="40"/>
      </w:pPr>
      <w:r>
        <w:t xml:space="preserve"/>
      </w:r>
    </w:p>
    <w:p>
      <w:pPr>
        <w:spacing w:after="120" w:before="60"/>
      </w:pPr>
      <w:r>
        <w:rPr>
          <w:rFonts w:ascii="Arial" w:cs="Arial" w:eastAsia="Arial" w:hAnsi="Arial"/>
          <w:sz w:val="22"/>
          <w:szCs w:val="22"/>
        </w:rPr>
        <w:t xml:space="preserve">Note that the asymptotic complexities of the two models differ structurally. Manual effort is dominated by O(nm) — the cost of a human reading and documenting each of the n×m object attributes. the platform replaces this with an automated DFS parse that runs in the same O(nm) time but at machine speed, reducing the constant factor from ~0.075 h/attribute to microseconds. The only term where the platform introduces new asymptotic cost relative to the manual process is O(T·|RAG|·d) in Stage E4 — a cost that has no manual analogue because RAG retrieval is unique to the automated approach.</w:t>
      </w:r>
    </w:p>
    <w:p>
      <w:pPr>
        <w:spacing w:after="40" w:before="40"/>
      </w:pPr>
      <w:r>
        <w:t xml:space="preserve"/>
      </w:r>
    </w:p>
    <w:p>
      <w:pPr>
        <w:pStyle w:val="Heading2"/>
        <w:spacing w:after="140" w:before="280"/>
      </w:pPr>
      <w:r>
        <w:rPr>
          <w:rFonts w:ascii="Arial" w:cs="Arial" w:eastAsia="Arial" w:hAnsi="Arial"/>
          <w:b/>
          <w:bCs/>
          <w:color w:val="3C3489"/>
          <w:sz w:val="28"/>
          <w:szCs w:val="28"/>
        </w:rPr>
        <w:t xml:space="preserve">4.3.3  Scalability: What Happens at Portfolio Scale?</w:t>
      </w:r>
    </w:p>
    <w:p>
      <w:pPr>
        <w:spacing w:after="120" w:before="60"/>
      </w:pPr>
      <w:r>
        <w:rPr>
          <w:rFonts w:ascii="Arial" w:cs="Arial" w:eastAsia="Arial" w:hAnsi="Arial"/>
          <w:sz w:val="22"/>
          <w:szCs w:val="22"/>
        </w:rPr>
        <w:t xml:space="preserve">For an organisation migrating a portfolio of R reports, both models scale linearly in R (each report is processed independently). The speedup therefore holds constant across portfolio size — migrating 100 reports manually takes ~100×90 h = 9,000 h (≈ 1,125 developer-days), while the platform processes the same portfolio in ~100×13 min = 21.7 h. The only scalability constraint for the platform is API rate limiting in Stage E5 (150 req/min), which adds O(E/150) minutes of wait time per report — negligible compared to the manual baseline.</w:t>
      </w:r>
    </w:p>
    <w:p>
      <w:pPr>
        <w:spacing w:after="40" w:before="40"/>
      </w:pPr>
      <w:r>
        <w:t xml:space="preserve"/>
      </w:r>
    </w:p>
    <w:p>
      <w:pPr>
        <w:pStyle w:val="Heading1"/>
        <w:spacing w:after="180" w:before="400"/>
      </w:pPr>
      <w:r>
        <w:rPr>
          <w:rFonts w:ascii="Arial" w:cs="Arial" w:eastAsia="Arial" w:hAnsi="Arial"/>
          <w:b/>
          <w:bCs/>
          <w:color w:val="2E2B6E"/>
          <w:sz w:val="32"/>
          <w:szCs w:val="32"/>
        </w:rPr>
        <w:t xml:space="preserve">5.  Results: Migration Effort Estimation</w:t>
      </w:r>
    </w:p>
    <w:p>
      <w:pPr>
        <w:spacing w:after="120" w:before="60"/>
      </w:pPr>
      <w:r>
        <w:rPr>
          <w:rFonts w:ascii="Arial" w:cs="Arial" w:eastAsia="Arial" w:hAnsi="Arial"/>
          <w:sz w:val="22"/>
          <w:szCs w:val="22"/>
        </w:rPr>
        <w:t xml:space="preserve">This section validates the formal effort models developed in Section 4 against three representative report profiles and compares manual versus automated migration times using industry benchmarks.</w:t>
      </w:r>
    </w:p>
    <w:p>
      <w:pPr>
        <w:spacing w:after="40" w:before="40"/>
      </w:pPr>
      <w:r>
        <w:t xml:space="preserve"/>
      </w:r>
    </w:p>
    <w:p>
      <w:pPr>
        <w:pStyle w:val="Heading1"/>
        <w:spacing w:after="180" w:before="400"/>
      </w:pPr>
      <w:r>
        <w:rPr>
          <w:rFonts w:ascii="Arial" w:cs="Arial" w:eastAsia="Arial" w:hAnsi="Arial"/>
          <w:b/>
          <w:bCs/>
          <w:color w:val="2E2B6E"/>
          <w:sz w:val="32"/>
          <w:szCs w:val="32"/>
        </w:rPr>
        <w:t xml:space="preserve">5.1  Migration Effort: Manual Process vs. Automated Pipeline</w:t>
      </w:r>
    </w:p>
    <w:p>
      <w:pPr>
        <w:pStyle w:val="Heading2"/>
        <w:spacing w:after="140" w:before="280"/>
      </w:pPr>
      <w:r>
        <w:rPr>
          <w:rFonts w:ascii="Arial" w:cs="Arial" w:eastAsia="Arial" w:hAnsi="Arial"/>
          <w:b/>
          <w:bCs/>
          <w:color w:val="3C3489"/>
          <w:sz w:val="28"/>
          <w:szCs w:val="28"/>
        </w:rPr>
        <w:t xml:space="preserve">5.1.1  Baseline Context</w:t>
      </w:r>
    </w:p>
    <w:p>
      <w:pPr>
        <w:spacing w:after="120" w:before="60"/>
      </w:pPr>
      <w:r>
        <w:rPr>
          <w:rFonts w:ascii="Arial" w:cs="Arial" w:eastAsia="Arial" w:hAnsi="Arial"/>
          <w:sz w:val="22"/>
          <w:szCs w:val="22"/>
        </w:rPr>
        <w:t xml:space="preserve">Manual migration of a QlikView report to Power BI is a multi-stage process requiring deep expertise in both platforms. Based on industry benchmarks from documented migration projects (Microsoft Learn, 2024c; KPI Partners, 2026; Multishoring, 2026), a medium-complexity report — approximately 20 visual objects across 2 sheets, 3 data sources, and 40 expressions — requires an estimated 3–5 working days (24–40 person-hours) for a senior BI developer.</w:t>
      </w:r>
    </w:p>
    <w:p>
      <w:pPr>
        <w:spacing w:after="40" w:before="40"/>
      </w:pPr>
      <w:r>
        <w:t xml:space="preserve"/>
      </w:r>
    </w:p>
    <w:p>
      <w:pPr>
        <w:spacing w:after="120" w:before="60"/>
      </w:pPr>
      <w:r>
        <w:rPr>
          <w:rFonts w:ascii="Arial" w:cs="Arial" w:eastAsia="Arial" w:hAnsi="Arial"/>
          <w:sz w:val="22"/>
          <w:szCs w:val="22"/>
        </w:rPr>
        <w:t xml:space="preserve">Microsoft's own migration guidance acknowledges high variance in individual report estimates: one report assessed at 50 consultant-days was completed in approximately 50 hours (Microsoft Learn, 2024c), indicating that hidden complexity in legacy QVS code is a major estimation risk. For portfolios of 50–200 reports, migration timelines range from 6 to 10 weeks even with acceleration tooling (Multishoring, 2026). KPI Partners (2026) reported that automated tooling reduced build effort by 70–80% and overall costs and timelines by 70–95% in a production Qlik-to-Power BI migration.</w:t>
      </w:r>
    </w:p>
    <w:p>
      <w:pPr>
        <w:spacing w:after="40" w:before="40"/>
      </w:pPr>
      <w:r>
        <w:t xml:space="preserve"/>
      </w:r>
    </w:p>
    <w:p>
      <w:pPr>
        <w:pStyle w:val="Heading2"/>
        <w:spacing w:after="140" w:before="280"/>
      </w:pPr>
      <w:r>
        <w:rPr>
          <w:rFonts w:ascii="Arial" w:cs="Arial" w:eastAsia="Arial" w:hAnsi="Arial"/>
          <w:b/>
          <w:bCs/>
          <w:color w:val="3C3489"/>
          <w:sz w:val="28"/>
          <w:szCs w:val="28"/>
        </w:rPr>
        <w:t xml:space="preserve">5.1.2  Dummy Report Profiles and Per-Stage Estimates</w:t>
      </w:r>
    </w:p>
    <w:p>
      <w:pPr>
        <w:spacing w:after="120" w:before="60"/>
      </w:pPr>
      <w:r>
        <w:rPr>
          <w:rFonts w:ascii="Arial" w:cs="Arial" w:eastAsia="Arial" w:hAnsi="Arial"/>
          <w:sz w:val="22"/>
          <w:szCs w:val="22"/>
        </w:rPr>
        <w:t xml:space="preserve">Three representative report profiles were defined to bracket the range of real-world migration complexity. Manual effort estimates are derived from the per-step decomposition of the seven-stage pipeline against the industry benchmarks cited above. the platform timings are based on execution logs from the Airline Operations demo case (Section 5.1), with simple and complex profiles scaled proportionally using the O(nm) and O(T · |RAG| · d) complexity models from Section 4.2.</w:t>
      </w:r>
    </w:p>
    <w:p>
      <w:pPr>
        <w:spacing w:after="40" w:before="40"/>
      </w:pPr>
      <w:r>
        <w:t xml:space="preserve"/>
      </w:r>
    </w:p>
    <w:p>
      <w:pPr>
        <w:pStyle w:val="Heading3"/>
        <w:spacing w:after="100" w:before="200"/>
      </w:pPr>
      <w:r>
        <w:rPr>
          <w:rFonts w:ascii="Arial" w:cs="Arial" w:eastAsia="Arial" w:hAnsi="Arial"/>
          <w:b/>
          <w:bCs/>
          <w:color w:val="534AB7"/>
          <w:sz w:val="24"/>
          <w:szCs w:val="24"/>
        </w:rPr>
        <w:t xml:space="preserve">Simple report</w:t>
      </w:r>
    </w:p>
    <w:p>
      <w:pPr>
        <w:spacing w:after="120" w:before="60"/>
      </w:pPr>
      <w:r>
        <w:rPr>
          <w:rFonts w:ascii="Arial" w:cs="Arial" w:eastAsia="Arial" w:hAnsi="Arial"/>
          <w:i/>
          <w:iCs/>
          <w:color w:val="555555"/>
          <w:sz w:val="22"/>
          <w:szCs w:val="22"/>
        </w:rPr>
        <w:t xml:space="preserve">5 visual objects · 1 sheet · 1 data source · ~10 expressions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Manual effort</w:t>
            </w:r>
          </w:p>
        </w:tc>
        <w:tc>
          <w:tcPr>
            <w:tcW w:type="dxa" w:w="3009"/>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 automated migration platform</w:t>
            </w:r>
          </w:p>
        </w:tc>
        <w:tc>
          <w:tcPr>
            <w:tcW w:type="dxa" w:w="3008"/>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Reduction</w:t>
            </w:r>
          </w:p>
        </w:tc>
      </w:tr>
      <w:tr>
        <w:tc>
          <w:tcPr>
            <w:tcW w:type="dxa" w:w="3009"/>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1–2 days  (8–16 h)</w:t>
            </w:r>
          </w:p>
        </w:tc>
        <w:tc>
          <w:tcPr>
            <w:tcW w:type="dxa" w:w="3009"/>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85041"/>
                <w:sz w:val="20"/>
                <w:szCs w:val="20"/>
              </w:rPr>
              <w:t xml:space="preserve">~8 minutes</w:t>
            </w:r>
          </w:p>
        </w:tc>
        <w:tc>
          <w:tcPr>
            <w:tcW w:type="dxa" w:w="3008"/>
            <w:tcBorders>
              <w:top w:val="single" w:color="CCCCCC" w:sz="1"/>
              <w:left w:val="single" w:color="CCCCCC" w:sz="1"/>
              <w:bottom w:val="single" w:color="CCCCCC" w:sz="1"/>
              <w:right w:val="single" w:color="CCCCCC" w:sz="1"/>
            </w:tcBorders>
            <w:shd w:fill="F3FDF8"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~98%</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2700"/>
        <w:gridCol w:w="2700"/>
      </w:tblGrid>
      <w:tr>
        <w:tc>
          <w:tcPr>
            <w:tcW w:type="dxa" w:w="3626"/>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Pipeline step</w:t>
            </w:r>
          </w:p>
        </w:tc>
        <w:tc>
          <w:tcPr>
            <w:tcW w:type="dxa" w:w="27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Manual estimate</w:t>
            </w:r>
          </w:p>
        </w:tc>
        <w:tc>
          <w:tcPr>
            <w:tcW w:type="dxa" w:w="27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 automated migration platform</w:t>
            </w:r>
          </w:p>
        </w:tc>
      </w:tr>
      <w:tr>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bCs/>
                <w:color w:val="222222"/>
                <w:sz w:val="20"/>
                <w:szCs w:val="20"/>
              </w:rPr>
              <w:t xml:space="preserve">Metadata extraction</w:t>
            </w:r>
          </w:p>
        </w:tc>
        <w:tc>
          <w:tcPr>
            <w:tcW w:type="dxa" w:w="2700"/>
            <w:tcBorders>
              <w:top w:val="single" w:color="CCCCCC" w:sz="1"/>
              <w:left w:val="single" w:color="CCCCCC" w:sz="1"/>
              <w:bottom w:val="single" w:color="CCCCCC" w:sz="1"/>
              <w:right w:val="single" w:color="CCCCCC" w:sz="1"/>
            </w:tcBorders>
            <w:shd w:fill="FFF5F2" w:val="clear"/>
            <w:tcMar>
              <w:top w:type="dxa" w:w="80"/>
              <w:left w:type="dxa" w:w="120"/>
              <w:bottom w:type="dxa" w:w="80"/>
              <w:right w:type="dxa" w:w="120"/>
            </w:tcMar>
          </w:tcPr>
          <w:p>
            <w:pPr>
              <w:jc w:val="left"/>
            </w:pPr>
            <w:r>
              <w:rPr>
                <w:rFonts w:ascii="Arial" w:cs="Arial" w:eastAsia="Arial" w:hAnsi="Arial"/>
                <w:b w:val="false"/>
                <w:bCs w:val="false"/>
                <w:color w:val="993C1D"/>
                <w:sz w:val="20"/>
                <w:szCs w:val="20"/>
              </w:rPr>
              <w:t xml:space="preserve">1–2 h</w:t>
            </w:r>
          </w:p>
        </w:tc>
        <w:tc>
          <w:tcPr>
            <w:tcW w:type="dxa" w:w="2700"/>
            <w:tcBorders>
              <w:top w:val="single" w:color="CCCCCC" w:sz="1"/>
              <w:left w:val="single" w:color="CCCCCC" w:sz="1"/>
              <w:bottom w:val="single" w:color="CCCCCC" w:sz="1"/>
              <w:right w:val="single" w:color="CCCCCC" w:sz="1"/>
            </w:tcBorders>
            <w:shd w:fill="F0FDF7" w:val="clear"/>
            <w:tcMar>
              <w:top w:type="dxa" w:w="80"/>
              <w:left w:type="dxa" w:w="120"/>
              <w:bottom w:type="dxa" w:w="80"/>
              <w:right w:type="dxa" w:w="120"/>
            </w:tcMar>
          </w:tcPr>
          <w:p>
            <w:pPr>
              <w:jc w:val="left"/>
            </w:pPr>
            <w:r>
              <w:rPr>
                <w:rFonts w:ascii="Arial" w:cs="Arial" w:eastAsia="Arial" w:hAnsi="Arial"/>
                <w:b w:val="false"/>
                <w:bCs w:val="false"/>
                <w:color w:val="085041"/>
                <w:sz w:val="20"/>
                <w:szCs w:val="20"/>
              </w:rPr>
              <w:t xml:space="preserve">2–3 min</w:t>
            </w:r>
          </w:p>
        </w:tc>
      </w:tr>
      <w:tr>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XML parsing &amp; mapping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993C1D"/>
                <w:sz w:val="20"/>
                <w:szCs w:val="20"/>
              </w:rPr>
              <w:t xml:space="preserve">1 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85041"/>
                <w:sz w:val="20"/>
                <w:szCs w:val="20"/>
              </w:rPr>
              <w:t xml:space="preserve">&lt; 1 min</w:t>
            </w:r>
          </w:p>
        </w:tc>
      </w:tr>
      <w:tr>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Script → M Query (RAG)</w:t>
            </w:r>
          </w:p>
        </w:tc>
        <w:tc>
          <w:tcPr>
            <w:tcW w:type="dxa" w:w="2700"/>
            <w:tcBorders>
              <w:top w:val="single" w:color="CCCCCC" w:sz="1"/>
              <w:left w:val="single" w:color="CCCCCC" w:sz="1"/>
              <w:bottom w:val="single" w:color="CCCCCC" w:sz="1"/>
              <w:right w:val="single" w:color="CCCCCC" w:sz="1"/>
            </w:tcBorders>
            <w:shd w:fill="FFF5F2" w:val="clear"/>
            <w:tcMar>
              <w:top w:type="dxa" w:w="80"/>
              <w:left w:type="dxa" w:w="120"/>
              <w:bottom w:type="dxa" w:w="80"/>
              <w:right w:type="dxa" w:w="120"/>
            </w:tcMar>
          </w:tcPr>
          <w:p>
            <w:pPr>
              <w:jc w:val="left"/>
            </w:pPr>
            <w:r>
              <w:rPr>
                <w:rFonts w:ascii="Arial" w:cs="Arial" w:eastAsia="Arial" w:hAnsi="Arial"/>
                <w:b w:val="false"/>
                <w:bCs w:val="false"/>
                <w:color w:val="993C1D"/>
                <w:sz w:val="20"/>
                <w:szCs w:val="20"/>
              </w:rPr>
              <w:t xml:space="preserve">2–3 h</w:t>
            </w:r>
          </w:p>
        </w:tc>
        <w:tc>
          <w:tcPr>
            <w:tcW w:type="dxa" w:w="2700"/>
            <w:tcBorders>
              <w:top w:val="single" w:color="CCCCCC" w:sz="1"/>
              <w:left w:val="single" w:color="CCCCCC" w:sz="1"/>
              <w:bottom w:val="single" w:color="CCCCCC" w:sz="1"/>
              <w:right w:val="single" w:color="CCCCCC" w:sz="1"/>
            </w:tcBorders>
            <w:shd w:fill="F0FDF7" w:val="clear"/>
            <w:tcMar>
              <w:top w:type="dxa" w:w="80"/>
              <w:left w:type="dxa" w:w="120"/>
              <w:bottom w:type="dxa" w:w="80"/>
              <w:right w:type="dxa" w:w="120"/>
            </w:tcMar>
          </w:tcPr>
          <w:p>
            <w:pPr>
              <w:jc w:val="left"/>
            </w:pPr>
            <w:r>
              <w:rPr>
                <w:rFonts w:ascii="Arial" w:cs="Arial" w:eastAsia="Arial" w:hAnsi="Arial"/>
                <w:b w:val="false"/>
                <w:bCs w:val="false"/>
                <w:color w:val="085041"/>
                <w:sz w:val="20"/>
                <w:szCs w:val="20"/>
              </w:rPr>
              <w:t xml:space="preserve">1–2 min</w:t>
            </w:r>
          </w:p>
        </w:tc>
      </w:tr>
      <w:tr>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Expressions → DAX</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993C1D"/>
                <w:sz w:val="20"/>
                <w:szCs w:val="20"/>
              </w:rPr>
              <w:t xml:space="preserve">1–2 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85041"/>
                <w:sz w:val="20"/>
                <w:szCs w:val="20"/>
              </w:rPr>
              <w:t xml:space="preserve">1–2 min</w:t>
            </w:r>
          </w:p>
        </w:tc>
      </w:tr>
      <w:tr>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bCs/>
                <w:color w:val="222222"/>
                <w:sz w:val="20"/>
                <w:szCs w:val="20"/>
              </w:rPr>
              <w:t xml:space="preserve">Visual layout export</w:t>
            </w:r>
          </w:p>
        </w:tc>
        <w:tc>
          <w:tcPr>
            <w:tcW w:type="dxa" w:w="2700"/>
            <w:tcBorders>
              <w:top w:val="single" w:color="CCCCCC" w:sz="1"/>
              <w:left w:val="single" w:color="CCCCCC" w:sz="1"/>
              <w:bottom w:val="single" w:color="CCCCCC" w:sz="1"/>
              <w:right w:val="single" w:color="CCCCCC" w:sz="1"/>
            </w:tcBorders>
            <w:shd w:fill="FFF5F2" w:val="clear"/>
            <w:tcMar>
              <w:top w:type="dxa" w:w="80"/>
              <w:left w:type="dxa" w:w="120"/>
              <w:bottom w:type="dxa" w:w="80"/>
              <w:right w:type="dxa" w:w="120"/>
            </w:tcMar>
          </w:tcPr>
          <w:p>
            <w:pPr>
              <w:jc w:val="left"/>
            </w:pPr>
            <w:r>
              <w:rPr>
                <w:rFonts w:ascii="Arial" w:cs="Arial" w:eastAsia="Arial" w:hAnsi="Arial"/>
                <w:b w:val="false"/>
                <w:bCs w:val="false"/>
                <w:color w:val="993C1D"/>
                <w:sz w:val="20"/>
                <w:szCs w:val="20"/>
              </w:rPr>
              <w:t xml:space="preserve">2–3 h</w:t>
            </w:r>
          </w:p>
        </w:tc>
        <w:tc>
          <w:tcPr>
            <w:tcW w:type="dxa" w:w="2700"/>
            <w:tcBorders>
              <w:top w:val="single" w:color="CCCCCC" w:sz="1"/>
              <w:left w:val="single" w:color="CCCCCC" w:sz="1"/>
              <w:bottom w:val="single" w:color="CCCCCC" w:sz="1"/>
              <w:right w:val="single" w:color="CCCCCC" w:sz="1"/>
            </w:tcBorders>
            <w:shd w:fill="F0FDF7" w:val="clear"/>
            <w:tcMar>
              <w:top w:type="dxa" w:w="80"/>
              <w:left w:type="dxa" w:w="120"/>
              <w:bottom w:type="dxa" w:w="80"/>
              <w:right w:type="dxa" w:w="120"/>
            </w:tcMar>
          </w:tcPr>
          <w:p>
            <w:pPr>
              <w:jc w:val="left"/>
            </w:pPr>
            <w:r>
              <w:rPr>
                <w:rFonts w:ascii="Arial" w:cs="Arial" w:eastAsia="Arial" w:hAnsi="Arial"/>
                <w:b w:val="false"/>
                <w:bCs w:val="false"/>
                <w:color w:val="085041"/>
                <w:sz w:val="20"/>
                <w:szCs w:val="20"/>
              </w:rPr>
              <w:t xml:space="preserve">1 min</w:t>
            </w:r>
          </w:p>
        </w:tc>
      </w:tr>
      <w:tr>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Synthesis &amp; validation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993C1D"/>
                <w:sz w:val="20"/>
                <w:szCs w:val="20"/>
              </w:rPr>
              <w:t xml:space="preserve">1 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85041"/>
                <w:sz w:val="20"/>
                <w:szCs w:val="20"/>
              </w:rPr>
              <w:t xml:space="preserve">1 min</w:t>
            </w:r>
          </w:p>
        </w:tc>
      </w:tr>
    </w:tbl>
    <w:p>
      <w:pPr>
        <w:spacing w:after="40" w:before="40"/>
      </w:pPr>
      <w:r>
        <w:t xml:space="preserve"/>
      </w:r>
    </w:p>
    <w:p>
      <w:pPr>
        <w:pStyle w:val="Heading3"/>
        <w:spacing w:after="100" w:before="200"/>
      </w:pPr>
      <w:r>
        <w:rPr>
          <w:rFonts w:ascii="Arial" w:cs="Arial" w:eastAsia="Arial" w:hAnsi="Arial"/>
          <w:b/>
          <w:bCs/>
          <w:color w:val="534AB7"/>
          <w:sz w:val="24"/>
          <w:szCs w:val="24"/>
        </w:rPr>
        <w:t xml:space="preserve">Medium report — Airline Operations</w:t>
      </w:r>
    </w:p>
    <w:p>
      <w:pPr>
        <w:spacing w:after="120" w:before="60"/>
      </w:pPr>
      <w:r>
        <w:rPr>
          <w:rFonts w:ascii="Arial" w:cs="Arial" w:eastAsia="Arial" w:hAnsi="Arial"/>
          <w:i/>
          <w:iCs/>
          <w:color w:val="555555"/>
          <w:sz w:val="22"/>
          <w:szCs w:val="22"/>
        </w:rPr>
        <w:t xml:space="preserve">22 visual objects · 2 sheets · 3 data sources · ~40 expressions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Manual effort</w:t>
            </w:r>
          </w:p>
        </w:tc>
        <w:tc>
          <w:tcPr>
            <w:tcW w:type="dxa" w:w="3009"/>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 automated migration platform</w:t>
            </w:r>
          </w:p>
        </w:tc>
        <w:tc>
          <w:tcPr>
            <w:tcW w:type="dxa" w:w="3008"/>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Reduction</w:t>
            </w:r>
          </w:p>
        </w:tc>
      </w:tr>
      <w:tr>
        <w:tc>
          <w:tcPr>
            <w:tcW w:type="dxa" w:w="3009"/>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3–5 days  (24–40 h)</w:t>
            </w:r>
          </w:p>
        </w:tc>
        <w:tc>
          <w:tcPr>
            <w:tcW w:type="dxa" w:w="3009"/>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85041"/>
                <w:sz w:val="20"/>
                <w:szCs w:val="20"/>
              </w:rPr>
              <w:t xml:space="preserve">~13 minutes</w:t>
            </w:r>
          </w:p>
        </w:tc>
        <w:tc>
          <w:tcPr>
            <w:tcW w:type="dxa" w:w="3008"/>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~97%</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2700"/>
        <w:gridCol w:w="2700"/>
      </w:tblGrid>
      <w:tr>
        <w:tc>
          <w:tcPr>
            <w:tcW w:type="dxa" w:w="3626"/>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Pipeline step</w:t>
            </w:r>
          </w:p>
        </w:tc>
        <w:tc>
          <w:tcPr>
            <w:tcW w:type="dxa" w:w="27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Manual estimate</w:t>
            </w:r>
          </w:p>
        </w:tc>
        <w:tc>
          <w:tcPr>
            <w:tcW w:type="dxa" w:w="27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 automated migration platform</w:t>
            </w:r>
          </w:p>
        </w:tc>
      </w:tr>
      <w:tr>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bCs/>
                <w:color w:val="222222"/>
                <w:sz w:val="20"/>
                <w:szCs w:val="20"/>
              </w:rPr>
              <w:t xml:space="preserve">Metadata extraction</w:t>
            </w:r>
          </w:p>
        </w:tc>
        <w:tc>
          <w:tcPr>
            <w:tcW w:type="dxa" w:w="2700"/>
            <w:tcBorders>
              <w:top w:val="single" w:color="CCCCCC" w:sz="1"/>
              <w:left w:val="single" w:color="CCCCCC" w:sz="1"/>
              <w:bottom w:val="single" w:color="CCCCCC" w:sz="1"/>
              <w:right w:val="single" w:color="CCCCCC" w:sz="1"/>
            </w:tcBorders>
            <w:shd w:fill="FFF5F2" w:val="clear"/>
            <w:tcMar>
              <w:top w:type="dxa" w:w="80"/>
              <w:left w:type="dxa" w:w="120"/>
              <w:bottom w:type="dxa" w:w="80"/>
              <w:right w:type="dxa" w:w="120"/>
            </w:tcMar>
          </w:tcPr>
          <w:p>
            <w:pPr>
              <w:jc w:val="left"/>
            </w:pPr>
            <w:r>
              <w:rPr>
                <w:rFonts w:ascii="Arial" w:cs="Arial" w:eastAsia="Arial" w:hAnsi="Arial"/>
                <w:b w:val="false"/>
                <w:bCs w:val="false"/>
                <w:color w:val="993C1D"/>
                <w:sz w:val="20"/>
                <w:szCs w:val="20"/>
              </w:rPr>
              <w:t xml:space="preserve">3–4 h</w:t>
            </w:r>
          </w:p>
        </w:tc>
        <w:tc>
          <w:tcPr>
            <w:tcW w:type="dxa" w:w="2700"/>
            <w:tcBorders>
              <w:top w:val="single" w:color="CCCCCC" w:sz="1"/>
              <w:left w:val="single" w:color="CCCCCC" w:sz="1"/>
              <w:bottom w:val="single" w:color="CCCCCC" w:sz="1"/>
              <w:right w:val="single" w:color="CCCCCC" w:sz="1"/>
            </w:tcBorders>
            <w:shd w:fill="F0FDF7" w:val="clear"/>
            <w:tcMar>
              <w:top w:type="dxa" w:w="80"/>
              <w:left w:type="dxa" w:w="120"/>
              <w:bottom w:type="dxa" w:w="80"/>
              <w:right w:type="dxa" w:w="120"/>
            </w:tcMar>
          </w:tcPr>
          <w:p>
            <w:pPr>
              <w:jc w:val="left"/>
            </w:pPr>
            <w:r>
              <w:rPr>
                <w:rFonts w:ascii="Arial" w:cs="Arial" w:eastAsia="Arial" w:hAnsi="Arial"/>
                <w:b w:val="false"/>
                <w:bCs w:val="false"/>
                <w:color w:val="085041"/>
                <w:sz w:val="20"/>
                <w:szCs w:val="20"/>
              </w:rPr>
              <w:t xml:space="preserve">4–5 min</w:t>
            </w:r>
          </w:p>
        </w:tc>
      </w:tr>
      <w:tr>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XML parsing &amp; mapping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993C1D"/>
                <w:sz w:val="20"/>
                <w:szCs w:val="20"/>
              </w:rPr>
              <w:t xml:space="preserve">3–4 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85041"/>
                <w:sz w:val="20"/>
                <w:szCs w:val="20"/>
              </w:rPr>
              <w:t xml:space="preserve">1–2 min</w:t>
            </w:r>
          </w:p>
        </w:tc>
      </w:tr>
      <w:tr>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Script → M Query (RAG)</w:t>
            </w:r>
          </w:p>
        </w:tc>
        <w:tc>
          <w:tcPr>
            <w:tcW w:type="dxa" w:w="2700"/>
            <w:tcBorders>
              <w:top w:val="single" w:color="CCCCCC" w:sz="1"/>
              <w:left w:val="single" w:color="CCCCCC" w:sz="1"/>
              <w:bottom w:val="single" w:color="CCCCCC" w:sz="1"/>
              <w:right w:val="single" w:color="CCCCCC" w:sz="1"/>
            </w:tcBorders>
            <w:shd w:fill="FFF5F2" w:val="clear"/>
            <w:tcMar>
              <w:top w:type="dxa" w:w="80"/>
              <w:left w:type="dxa" w:w="120"/>
              <w:bottom w:type="dxa" w:w="80"/>
              <w:right w:type="dxa" w:w="120"/>
            </w:tcMar>
          </w:tcPr>
          <w:p>
            <w:pPr>
              <w:jc w:val="left"/>
            </w:pPr>
            <w:r>
              <w:rPr>
                <w:rFonts w:ascii="Arial" w:cs="Arial" w:eastAsia="Arial" w:hAnsi="Arial"/>
                <w:b w:val="false"/>
                <w:bCs w:val="false"/>
                <w:color w:val="993C1D"/>
                <w:sz w:val="20"/>
                <w:szCs w:val="20"/>
              </w:rPr>
              <w:t xml:space="preserve">6–8 h</w:t>
            </w:r>
          </w:p>
        </w:tc>
        <w:tc>
          <w:tcPr>
            <w:tcW w:type="dxa" w:w="2700"/>
            <w:tcBorders>
              <w:top w:val="single" w:color="CCCCCC" w:sz="1"/>
              <w:left w:val="single" w:color="CCCCCC" w:sz="1"/>
              <w:bottom w:val="single" w:color="CCCCCC" w:sz="1"/>
              <w:right w:val="single" w:color="CCCCCC" w:sz="1"/>
            </w:tcBorders>
            <w:shd w:fill="F0FDF7" w:val="clear"/>
            <w:tcMar>
              <w:top w:type="dxa" w:w="80"/>
              <w:left w:type="dxa" w:w="120"/>
              <w:bottom w:type="dxa" w:w="80"/>
              <w:right w:type="dxa" w:w="120"/>
            </w:tcMar>
          </w:tcPr>
          <w:p>
            <w:pPr>
              <w:jc w:val="left"/>
            </w:pPr>
            <w:r>
              <w:rPr>
                <w:rFonts w:ascii="Arial" w:cs="Arial" w:eastAsia="Arial" w:hAnsi="Arial"/>
                <w:b w:val="false"/>
                <w:bCs w:val="false"/>
                <w:color w:val="085041"/>
                <w:sz w:val="20"/>
                <w:szCs w:val="20"/>
              </w:rPr>
              <w:t xml:space="preserve">3–4 min</w:t>
            </w:r>
          </w:p>
        </w:tc>
      </w:tr>
      <w:tr>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Expressions → DAX</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993C1D"/>
                <w:sz w:val="20"/>
                <w:szCs w:val="20"/>
              </w:rPr>
              <w:t xml:space="preserve">6–10 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85041"/>
                <w:sz w:val="20"/>
                <w:szCs w:val="20"/>
              </w:rPr>
              <w:t xml:space="preserve">3–4 min</w:t>
            </w:r>
          </w:p>
        </w:tc>
      </w:tr>
      <w:tr>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bCs/>
                <w:color w:val="222222"/>
                <w:sz w:val="20"/>
                <w:szCs w:val="20"/>
              </w:rPr>
              <w:t xml:space="preserve">Visual layout export</w:t>
            </w:r>
          </w:p>
        </w:tc>
        <w:tc>
          <w:tcPr>
            <w:tcW w:type="dxa" w:w="2700"/>
            <w:tcBorders>
              <w:top w:val="single" w:color="CCCCCC" w:sz="1"/>
              <w:left w:val="single" w:color="CCCCCC" w:sz="1"/>
              <w:bottom w:val="single" w:color="CCCCCC" w:sz="1"/>
              <w:right w:val="single" w:color="CCCCCC" w:sz="1"/>
            </w:tcBorders>
            <w:shd w:fill="FFF5F2" w:val="clear"/>
            <w:tcMar>
              <w:top w:type="dxa" w:w="80"/>
              <w:left w:type="dxa" w:w="120"/>
              <w:bottom w:type="dxa" w:w="80"/>
              <w:right w:type="dxa" w:w="120"/>
            </w:tcMar>
          </w:tcPr>
          <w:p>
            <w:pPr>
              <w:jc w:val="left"/>
            </w:pPr>
            <w:r>
              <w:rPr>
                <w:rFonts w:ascii="Arial" w:cs="Arial" w:eastAsia="Arial" w:hAnsi="Arial"/>
                <w:b w:val="false"/>
                <w:bCs w:val="false"/>
                <w:color w:val="993C1D"/>
                <w:sz w:val="20"/>
                <w:szCs w:val="20"/>
              </w:rPr>
              <w:t xml:space="preserve">4–6 h</w:t>
            </w:r>
          </w:p>
        </w:tc>
        <w:tc>
          <w:tcPr>
            <w:tcW w:type="dxa" w:w="2700"/>
            <w:tcBorders>
              <w:top w:val="single" w:color="CCCCCC" w:sz="1"/>
              <w:left w:val="single" w:color="CCCCCC" w:sz="1"/>
              <w:bottom w:val="single" w:color="CCCCCC" w:sz="1"/>
              <w:right w:val="single" w:color="CCCCCC" w:sz="1"/>
            </w:tcBorders>
            <w:shd w:fill="F0FDF7" w:val="clear"/>
            <w:tcMar>
              <w:top w:type="dxa" w:w="80"/>
              <w:left w:type="dxa" w:w="120"/>
              <w:bottom w:type="dxa" w:w="80"/>
              <w:right w:type="dxa" w:w="120"/>
            </w:tcMar>
          </w:tcPr>
          <w:p>
            <w:pPr>
              <w:jc w:val="left"/>
            </w:pPr>
            <w:r>
              <w:rPr>
                <w:rFonts w:ascii="Arial" w:cs="Arial" w:eastAsia="Arial" w:hAnsi="Arial"/>
                <w:b w:val="false"/>
                <w:bCs w:val="false"/>
                <w:color w:val="085041"/>
                <w:sz w:val="20"/>
                <w:szCs w:val="20"/>
              </w:rPr>
              <w:t xml:space="preserve">2 min</w:t>
            </w:r>
          </w:p>
        </w:tc>
      </w:tr>
      <w:tr>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Synthesis &amp; validation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993C1D"/>
                <w:sz w:val="20"/>
                <w:szCs w:val="20"/>
              </w:rPr>
              <w:t xml:space="preserve">2–4 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85041"/>
                <w:sz w:val="20"/>
                <w:szCs w:val="20"/>
              </w:rPr>
              <w:t xml:space="preserve">1 min</w:t>
            </w:r>
          </w:p>
        </w:tc>
      </w:tr>
    </w:tbl>
    <w:p>
      <w:pPr>
        <w:spacing w:after="40" w:before="40"/>
      </w:pPr>
      <w:r>
        <w:t xml:space="preserve"/>
      </w:r>
    </w:p>
    <w:p>
      <w:pPr>
        <w:pStyle w:val="Heading3"/>
        <w:spacing w:after="100" w:before="200"/>
      </w:pPr>
      <w:r>
        <w:rPr>
          <w:rFonts w:ascii="Arial" w:cs="Arial" w:eastAsia="Arial" w:hAnsi="Arial"/>
          <w:b/>
          <w:bCs/>
          <w:color w:val="534AB7"/>
          <w:sz w:val="24"/>
          <w:szCs w:val="24"/>
        </w:rPr>
        <w:t xml:space="preserve">Complex report</w:t>
      </w:r>
    </w:p>
    <w:p>
      <w:pPr>
        <w:spacing w:after="120" w:before="60"/>
      </w:pPr>
      <w:r>
        <w:rPr>
          <w:rFonts w:ascii="Arial" w:cs="Arial" w:eastAsia="Arial" w:hAnsi="Arial"/>
          <w:i/>
          <w:iCs/>
          <w:color w:val="555555"/>
          <w:sz w:val="22"/>
          <w:szCs w:val="22"/>
        </w:rPr>
        <w:t xml:space="preserve">55 visual objects · 5 sheets · 8+ data sources · ~120 expressions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Manual effort</w:t>
            </w:r>
          </w:p>
        </w:tc>
        <w:tc>
          <w:tcPr>
            <w:tcW w:type="dxa" w:w="3009"/>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 automated migration platform</w:t>
            </w:r>
          </w:p>
        </w:tc>
        <w:tc>
          <w:tcPr>
            <w:tcW w:type="dxa" w:w="3008"/>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Reduction</w:t>
            </w:r>
          </w:p>
        </w:tc>
      </w:tr>
      <w:tr>
        <w:tc>
          <w:tcPr>
            <w:tcW w:type="dxa" w:w="3009"/>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10–15 days  (80–120 h)</w:t>
            </w:r>
          </w:p>
        </w:tc>
        <w:tc>
          <w:tcPr>
            <w:tcW w:type="dxa" w:w="3009"/>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85041"/>
                <w:sz w:val="20"/>
                <w:szCs w:val="20"/>
              </w:rPr>
              <w:t xml:space="preserve">~35 minutes</w:t>
            </w:r>
          </w:p>
        </w:tc>
        <w:tc>
          <w:tcPr>
            <w:tcW w:type="dxa" w:w="3008"/>
            <w:tcBorders>
              <w:top w:val="single" w:color="CCCCCC" w:sz="1"/>
              <w:left w:val="single" w:color="CCCCCC" w:sz="1"/>
              <w:bottom w:val="single" w:color="CCCCCC" w:sz="1"/>
              <w:right w:val="single" w:color="CCCCCC" w:sz="1"/>
            </w:tcBorders>
            <w:shd w:fill="FFF5F0" w:val="clear"/>
            <w:tcMar>
              <w:top w:type="dxa" w:w="80"/>
              <w:left w:type="dxa" w:w="120"/>
              <w:bottom w:type="dxa" w:w="80"/>
              <w:right w:type="dxa" w:w="120"/>
            </w:tcMar>
          </w:tcPr>
          <w:p>
            <w:pPr>
              <w:jc w:val="center"/>
            </w:pPr>
            <w:r>
              <w:rPr>
                <w:rFonts w:ascii="Arial" w:cs="Arial" w:eastAsia="Arial" w:hAnsi="Arial"/>
                <w:b/>
                <w:bCs/>
                <w:color w:val="3C3489"/>
                <w:sz w:val="20"/>
                <w:szCs w:val="20"/>
              </w:rPr>
              <w:t xml:space="preserve">~97%</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2700"/>
        <w:gridCol w:w="2700"/>
      </w:tblGrid>
      <w:tr>
        <w:tc>
          <w:tcPr>
            <w:tcW w:type="dxa" w:w="3626"/>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Pipeline step</w:t>
            </w:r>
          </w:p>
        </w:tc>
        <w:tc>
          <w:tcPr>
            <w:tcW w:type="dxa" w:w="27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Manual estimate</w:t>
            </w:r>
          </w:p>
        </w:tc>
        <w:tc>
          <w:tcPr>
            <w:tcW w:type="dxa" w:w="27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 automated migration platform</w:t>
            </w:r>
          </w:p>
        </w:tc>
      </w:tr>
      <w:tr>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bCs/>
                <w:color w:val="222222"/>
                <w:sz w:val="20"/>
                <w:szCs w:val="20"/>
              </w:rPr>
              <w:t xml:space="preserve">Metadata extraction</w:t>
            </w:r>
          </w:p>
        </w:tc>
        <w:tc>
          <w:tcPr>
            <w:tcW w:type="dxa" w:w="2700"/>
            <w:tcBorders>
              <w:top w:val="single" w:color="CCCCCC" w:sz="1"/>
              <w:left w:val="single" w:color="CCCCCC" w:sz="1"/>
              <w:bottom w:val="single" w:color="CCCCCC" w:sz="1"/>
              <w:right w:val="single" w:color="CCCCCC" w:sz="1"/>
            </w:tcBorders>
            <w:shd w:fill="FFF5F2" w:val="clear"/>
            <w:tcMar>
              <w:top w:type="dxa" w:w="80"/>
              <w:left w:type="dxa" w:w="120"/>
              <w:bottom w:type="dxa" w:w="80"/>
              <w:right w:type="dxa" w:w="120"/>
            </w:tcMar>
          </w:tcPr>
          <w:p>
            <w:pPr>
              <w:jc w:val="left"/>
            </w:pPr>
            <w:r>
              <w:rPr>
                <w:rFonts w:ascii="Arial" w:cs="Arial" w:eastAsia="Arial" w:hAnsi="Arial"/>
                <w:b w:val="false"/>
                <w:bCs w:val="false"/>
                <w:color w:val="993C1D"/>
                <w:sz w:val="20"/>
                <w:szCs w:val="20"/>
              </w:rPr>
              <w:t xml:space="preserve">8–10 h</w:t>
            </w:r>
          </w:p>
        </w:tc>
        <w:tc>
          <w:tcPr>
            <w:tcW w:type="dxa" w:w="2700"/>
            <w:tcBorders>
              <w:top w:val="single" w:color="CCCCCC" w:sz="1"/>
              <w:left w:val="single" w:color="CCCCCC" w:sz="1"/>
              <w:bottom w:val="single" w:color="CCCCCC" w:sz="1"/>
              <w:right w:val="single" w:color="CCCCCC" w:sz="1"/>
            </w:tcBorders>
            <w:shd w:fill="F0FDF7" w:val="clear"/>
            <w:tcMar>
              <w:top w:type="dxa" w:w="80"/>
              <w:left w:type="dxa" w:w="120"/>
              <w:bottom w:type="dxa" w:w="80"/>
              <w:right w:type="dxa" w:w="120"/>
            </w:tcMar>
          </w:tcPr>
          <w:p>
            <w:pPr>
              <w:jc w:val="left"/>
            </w:pPr>
            <w:r>
              <w:rPr>
                <w:rFonts w:ascii="Arial" w:cs="Arial" w:eastAsia="Arial" w:hAnsi="Arial"/>
                <w:b w:val="false"/>
                <w:bCs w:val="false"/>
                <w:color w:val="085041"/>
                <w:sz w:val="20"/>
                <w:szCs w:val="20"/>
              </w:rPr>
              <w:t xml:space="preserve">10–12 min</w:t>
            </w:r>
          </w:p>
        </w:tc>
      </w:tr>
      <w:tr>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XML parsing &amp; mapping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993C1D"/>
                <w:sz w:val="20"/>
                <w:szCs w:val="20"/>
              </w:rPr>
              <w:t xml:space="preserve">10–15 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85041"/>
                <w:sz w:val="20"/>
                <w:szCs w:val="20"/>
              </w:rPr>
              <w:t xml:space="preserve">3–4 min</w:t>
            </w:r>
          </w:p>
        </w:tc>
      </w:tr>
      <w:tr>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Script → M Query (RAG)</w:t>
            </w:r>
          </w:p>
        </w:tc>
        <w:tc>
          <w:tcPr>
            <w:tcW w:type="dxa" w:w="2700"/>
            <w:tcBorders>
              <w:top w:val="single" w:color="CCCCCC" w:sz="1"/>
              <w:left w:val="single" w:color="CCCCCC" w:sz="1"/>
              <w:bottom w:val="single" w:color="CCCCCC" w:sz="1"/>
              <w:right w:val="single" w:color="CCCCCC" w:sz="1"/>
            </w:tcBorders>
            <w:shd w:fill="FFF5F2" w:val="clear"/>
            <w:tcMar>
              <w:top w:type="dxa" w:w="80"/>
              <w:left w:type="dxa" w:w="120"/>
              <w:bottom w:type="dxa" w:w="80"/>
              <w:right w:type="dxa" w:w="120"/>
            </w:tcMar>
          </w:tcPr>
          <w:p>
            <w:pPr>
              <w:jc w:val="left"/>
            </w:pPr>
            <w:r>
              <w:rPr>
                <w:rFonts w:ascii="Arial" w:cs="Arial" w:eastAsia="Arial" w:hAnsi="Arial"/>
                <w:b w:val="false"/>
                <w:bCs w:val="false"/>
                <w:color w:val="993C1D"/>
                <w:sz w:val="20"/>
                <w:szCs w:val="20"/>
              </w:rPr>
              <w:t xml:space="preserve">20–30 h</w:t>
            </w:r>
          </w:p>
        </w:tc>
        <w:tc>
          <w:tcPr>
            <w:tcW w:type="dxa" w:w="2700"/>
            <w:tcBorders>
              <w:top w:val="single" w:color="CCCCCC" w:sz="1"/>
              <w:left w:val="single" w:color="CCCCCC" w:sz="1"/>
              <w:bottom w:val="single" w:color="CCCCCC" w:sz="1"/>
              <w:right w:val="single" w:color="CCCCCC" w:sz="1"/>
            </w:tcBorders>
            <w:shd w:fill="F0FDF7" w:val="clear"/>
            <w:tcMar>
              <w:top w:type="dxa" w:w="80"/>
              <w:left w:type="dxa" w:w="120"/>
              <w:bottom w:type="dxa" w:w="80"/>
              <w:right w:type="dxa" w:w="120"/>
            </w:tcMar>
          </w:tcPr>
          <w:p>
            <w:pPr>
              <w:jc w:val="left"/>
            </w:pPr>
            <w:r>
              <w:rPr>
                <w:rFonts w:ascii="Arial" w:cs="Arial" w:eastAsia="Arial" w:hAnsi="Arial"/>
                <w:b w:val="false"/>
                <w:bCs w:val="false"/>
                <w:color w:val="085041"/>
                <w:sz w:val="20"/>
                <w:szCs w:val="20"/>
              </w:rPr>
              <w:t xml:space="preserve">8–10 min</w:t>
            </w:r>
          </w:p>
        </w:tc>
      </w:tr>
      <w:tr>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Expressions → DAX</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993C1D"/>
                <w:sz w:val="20"/>
                <w:szCs w:val="20"/>
              </w:rPr>
              <w:t xml:space="preserve">20–30 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85041"/>
                <w:sz w:val="20"/>
                <w:szCs w:val="20"/>
              </w:rPr>
              <w:t xml:space="preserve">10–12 min</w:t>
            </w:r>
          </w:p>
        </w:tc>
      </w:tr>
      <w:tr>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bCs/>
                <w:color w:val="222222"/>
                <w:sz w:val="20"/>
                <w:szCs w:val="20"/>
              </w:rPr>
              <w:t xml:space="preserve">Visual layout export</w:t>
            </w:r>
          </w:p>
        </w:tc>
        <w:tc>
          <w:tcPr>
            <w:tcW w:type="dxa" w:w="2700"/>
            <w:tcBorders>
              <w:top w:val="single" w:color="CCCCCC" w:sz="1"/>
              <w:left w:val="single" w:color="CCCCCC" w:sz="1"/>
              <w:bottom w:val="single" w:color="CCCCCC" w:sz="1"/>
              <w:right w:val="single" w:color="CCCCCC" w:sz="1"/>
            </w:tcBorders>
            <w:shd w:fill="FFF5F2" w:val="clear"/>
            <w:tcMar>
              <w:top w:type="dxa" w:w="80"/>
              <w:left w:type="dxa" w:w="120"/>
              <w:bottom w:type="dxa" w:w="80"/>
              <w:right w:type="dxa" w:w="120"/>
            </w:tcMar>
          </w:tcPr>
          <w:p>
            <w:pPr>
              <w:jc w:val="left"/>
            </w:pPr>
            <w:r>
              <w:rPr>
                <w:rFonts w:ascii="Arial" w:cs="Arial" w:eastAsia="Arial" w:hAnsi="Arial"/>
                <w:b w:val="false"/>
                <w:bCs w:val="false"/>
                <w:color w:val="993C1D"/>
                <w:sz w:val="20"/>
                <w:szCs w:val="20"/>
              </w:rPr>
              <w:t xml:space="preserve">10–15 h</w:t>
            </w:r>
          </w:p>
        </w:tc>
        <w:tc>
          <w:tcPr>
            <w:tcW w:type="dxa" w:w="2700"/>
            <w:tcBorders>
              <w:top w:val="single" w:color="CCCCCC" w:sz="1"/>
              <w:left w:val="single" w:color="CCCCCC" w:sz="1"/>
              <w:bottom w:val="single" w:color="CCCCCC" w:sz="1"/>
              <w:right w:val="single" w:color="CCCCCC" w:sz="1"/>
            </w:tcBorders>
            <w:shd w:fill="F0FDF7" w:val="clear"/>
            <w:tcMar>
              <w:top w:type="dxa" w:w="80"/>
              <w:left w:type="dxa" w:w="120"/>
              <w:bottom w:type="dxa" w:w="80"/>
              <w:right w:type="dxa" w:w="120"/>
            </w:tcMar>
          </w:tcPr>
          <w:p>
            <w:pPr>
              <w:jc w:val="left"/>
            </w:pPr>
            <w:r>
              <w:rPr>
                <w:rFonts w:ascii="Arial" w:cs="Arial" w:eastAsia="Arial" w:hAnsi="Arial"/>
                <w:b w:val="false"/>
                <w:bCs w:val="false"/>
                <w:color w:val="085041"/>
                <w:sz w:val="20"/>
                <w:szCs w:val="20"/>
              </w:rPr>
              <w:t xml:space="preserve">5 min</w:t>
            </w:r>
          </w:p>
        </w:tc>
      </w:tr>
      <w:tr>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Synthesis &amp; validation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993C1D"/>
                <w:sz w:val="20"/>
                <w:szCs w:val="20"/>
              </w:rPr>
              <w:t xml:space="preserve">8–12 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85041"/>
                <w:sz w:val="20"/>
                <w:szCs w:val="20"/>
              </w:rPr>
              <w:t xml:space="preserve">2–3 min</w:t>
            </w:r>
          </w:p>
        </w:tc>
      </w:tr>
    </w:tbl>
    <w:p>
      <w:pPr>
        <w:spacing w:after="40" w:before="40"/>
      </w:pPr>
      <w:r>
        <w:t xml:space="preserve"/>
      </w:r>
    </w:p>
    <w:p>
      <w:pPr>
        <w:pStyle w:val="Heading2"/>
        <w:spacing w:after="140" w:before="280"/>
      </w:pPr>
      <w:r>
        <w:rPr>
          <w:rFonts w:ascii="Arial" w:cs="Arial" w:eastAsia="Arial" w:hAnsi="Arial"/>
          <w:b/>
          <w:bCs/>
          <w:color w:val="3C3489"/>
          <w:sz w:val="28"/>
          <w:szCs w:val="28"/>
        </w:rPr>
        <w:t xml:space="preserve">5.1.3  Summary</w:t>
      </w:r>
    </w:p>
    <w:p>
      <w:pPr>
        <w:spacing w:after="120" w:before="60"/>
      </w:pPr>
      <w:r>
        <w:rPr>
          <w:rFonts w:ascii="Arial" w:cs="Arial" w:eastAsia="Arial" w:hAnsi="Arial"/>
          <w:sz w:val="22"/>
          <w:szCs w:val="22"/>
        </w:rPr>
        <w:t xml:space="preserve">Across all three profiles, the automated pipeline reduces migration time by approximately 97–98% relative to the manual baseline. This figure is consistent with the 70–95% reduction reported by KPI Partners (2026) using comparable automated migration tooling. The key distinction is that the automated pipeline operates without human intervention during pipeline execution, reserving analyst time exclusively for the final Power BI Desktop visual reconstruction step — the only stage not yet fully automated (see Section 4.4, Limitations).</w:t>
      </w:r>
    </w:p>
    <w:p>
      <w:pPr>
        <w:spacing w:after="40" w:before="40"/>
      </w:pPr>
      <w:r>
        <w:t xml:space="preserve"/>
      </w:r>
    </w:p>
    <w:p>
      <w:pPr>
        <w:pStyle w:val="Heading1"/>
        <w:spacing w:after="180" w:before="400"/>
      </w:pPr>
      <w:r>
        <w:rPr>
          <w:rFonts w:ascii="Arial" w:cs="Arial" w:eastAsia="Arial" w:hAnsi="Arial"/>
          <w:b/>
          <w:bCs/>
          <w:color w:val="2E2B6E"/>
          <w:sz w:val="32"/>
          <w:szCs w:val="32"/>
        </w:rPr>
        <w:t xml:space="preserve">References</w:t>
      </w:r>
    </w:p>
    <w:p>
      <w:pPr>
        <w:spacing w:after="80" w:before="40"/>
        <w:ind w:left="720" w:hanging="360"/>
      </w:pPr>
      <w:r>
        <w:rPr>
          <w:rFonts w:ascii="Arial" w:cs="Arial" w:eastAsia="Arial" w:hAnsi="Arial"/>
          <w:color w:val="333333"/>
          <w:sz w:val="20"/>
          <w:szCs w:val="20"/>
        </w:rPr>
        <w:t xml:space="preserve">Chen, M., Tworek, J., Jun, H., Yuan, Q., Pinto, H. P. O., Kaplan, J., Edwards, H., Burda, Y., Joseph, N., Brockman, G., Ray, A., Puri, R., Krueger, G., Petrov, M., Khlaaf, H., Sastry, G., Mishkin, P., Chan, B., Gray, S., ... Zaremba, W. (2021). Evaluating large language models trained on code. arXiv preprint arXiv:2107.03374.</w:t>
      </w:r>
    </w:p>
    <w:p>
      <w:pPr>
        <w:spacing w:after="80" w:before="40"/>
        <w:ind w:left="720" w:hanging="360"/>
      </w:pPr>
      <w:r>
        <w:rPr>
          <w:rFonts w:ascii="Arial" w:cs="Arial" w:eastAsia="Arial" w:hAnsi="Arial"/>
          <w:color w:val="333333"/>
          <w:sz w:val="20"/>
          <w:szCs w:val="20"/>
        </w:rPr>
        <w:t xml:space="preserve">Gao, Y., Xiong, Y., Gao, X., Jia, K., Pan, J., Bi, Y., Dai, Y., Sun, J., Wang, M., &amp; Wang, H. (2024). Retrieval-augmented generation for large language models: A survey. arXiv. https://arxiv.org/abs/2312.10997</w:t>
      </w:r>
    </w:p>
    <w:p>
      <w:pPr>
        <w:spacing w:after="80" w:before="40"/>
        <w:ind w:left="720" w:hanging="360"/>
      </w:pPr>
      <w:r>
        <w:rPr>
          <w:rFonts w:ascii="Arial" w:cs="Arial" w:eastAsia="Arial" w:hAnsi="Arial"/>
          <w:color w:val="333333"/>
          <w:sz w:val="20"/>
          <w:szCs w:val="20"/>
        </w:rPr>
        <w:t xml:space="preserve">Google. (2025). How is Google using AI for internal code migrations? IEEE Xplore. https://ieeexplore.ieee.org/document/11121699/</w:t>
      </w:r>
    </w:p>
    <w:p>
      <w:pPr>
        <w:spacing w:after="80" w:before="40"/>
        <w:ind w:left="720" w:hanging="360"/>
      </w:pPr>
      <w:r>
        <w:rPr>
          <w:rFonts w:ascii="Arial" w:cs="Arial" w:eastAsia="Arial" w:hAnsi="Arial"/>
          <w:color w:val="333333"/>
          <w:sz w:val="20"/>
          <w:szCs w:val="20"/>
        </w:rPr>
        <w:t xml:space="preserve">Lewis, P., Perez, E., Piktus, A., Petroni, F., Karpukhin, V., Goyal, N., Kuebler, H., Lewis, M., Yih, W., Rocktaschel, T., &amp; Riedel, S. (2020). Retrieval-augmented generation for knowledge-intensive NLP tasks. Advances in Neural Information Processing Systems, 33, 9459–9474.</w:t>
      </w:r>
    </w:p>
    <w:p>
      <w:pPr>
        <w:spacing w:after="80" w:before="40"/>
        <w:ind w:left="720" w:hanging="360"/>
      </w:pPr>
      <w:r>
        <w:rPr>
          <w:rFonts w:ascii="Arial" w:cs="Arial" w:eastAsia="Arial" w:hAnsi="Arial"/>
          <w:color w:val="333333"/>
          <w:sz w:val="20"/>
          <w:szCs w:val="20"/>
        </w:rPr>
        <w:t xml:space="preserve">Sharma, S., Yoon, D. S., Dernoncourt, F., Sultania, D., Bagga, K., Zhang, M., Bui, T., &amp; Kotte, V. (2024). Retrieval augmented generation for domain-specific question answering. arXiv. https://arxiv.org/abs/2404.14760</w:t>
      </w:r>
    </w:p>
    <w:p>
      <w:pPr>
        <w:spacing w:after="80" w:before="40"/>
        <w:ind w:left="720" w:hanging="360"/>
      </w:pPr>
      <w:r>
        <w:rPr>
          <w:rFonts w:ascii="Arial" w:cs="Arial" w:eastAsia="Arial" w:hAnsi="Arial"/>
          <w:color w:val="333333"/>
          <w:sz w:val="20"/>
          <w:szCs w:val="20"/>
        </w:rPr>
        <w:t xml:space="preserve">Vaswani, A., Shazeer, N., Parmar, N., Uszkoreit, J., Jones, L., Gomez, A. N., Kaiser, L., &amp; Polosukhin, I. (2017). Attention is all you need. Advances in Neural Information Processing Systems, 30.</w:t>
      </w:r>
    </w:p>
    <w:p>
      <w:pPr>
        <w:spacing w:after="80" w:before="40"/>
        <w:ind w:left="720" w:hanging="360"/>
      </w:pPr>
      <w:r>
        <w:rPr>
          <w:rFonts w:ascii="Arial" w:cs="Arial" w:eastAsia="Arial" w:hAnsi="Arial"/>
          <w:color w:val="333333"/>
          <w:sz w:val="20"/>
          <w:szCs w:val="20"/>
        </w:rPr>
        <w:t xml:space="preserve">Aalto University. (2024). Investigating retrieval-augmented code generation for domain-specific tasks [Thesis PDF]. https://aaltodoc.aalto.fi/bitstreams/3dde92ec-ca5c-45b4-8a1d-30876b657c8f/download</w:t>
      </w:r>
    </w:p>
    <w:p>
      <w:pPr>
        <w:spacing w:after="80" w:before="40"/>
        <w:ind w:left="720" w:hanging="360"/>
      </w:pPr>
      <w:r>
        <w:rPr>
          <w:rFonts w:ascii="Arial" w:cs="Arial" w:eastAsia="Arial" w:hAnsi="Arial"/>
          <w:color w:val="333333"/>
          <w:sz w:val="20"/>
          <w:szCs w:val="20"/>
        </w:rPr>
        <w:t xml:space="preserve">Kimball, R., &amp; Ross, M. (2013). The data warehouse toolkit: The definitive guide to dimensional modeling (3rd ed.). Wiley.</w:t>
      </w:r>
    </w:p>
    <w:p>
      <w:pPr>
        <w:spacing w:after="80" w:before="40"/>
        <w:ind w:left="720" w:hanging="360"/>
      </w:pPr>
      <w:r>
        <w:rPr>
          <w:rFonts w:ascii="Arial" w:cs="Arial" w:eastAsia="Arial" w:hAnsi="Arial"/>
          <w:color w:val="333333"/>
          <w:sz w:val="20"/>
          <w:szCs w:val="20"/>
        </w:rPr>
        <w:t xml:space="preserve">Gartner. (2024). Magic Quadrant for analytics and business intelligence platforms.</w:t>
      </w:r>
    </w:p>
    <w:p>
      <w:pPr>
        <w:spacing w:after="80" w:before="40"/>
        <w:ind w:left="720" w:hanging="360"/>
      </w:pPr>
      <w:r>
        <w:rPr>
          <w:rFonts w:ascii="Arial" w:cs="Arial" w:eastAsia="Arial" w:hAnsi="Arial"/>
          <w:color w:val="333333"/>
          <w:sz w:val="20"/>
          <w:szCs w:val="20"/>
        </w:rPr>
        <w:t xml:space="preserve">Microsoft Learn. (2025, June 8). Power Query M formula language reference. Microsoft. https://learn.microsoft.com/en-us/powerquery-m/</w:t>
      </w:r>
    </w:p>
    <w:p>
      <w:pPr>
        <w:spacing w:after="80" w:before="40"/>
        <w:ind w:left="720" w:hanging="360"/>
      </w:pPr>
      <w:r>
        <w:rPr>
          <w:rFonts w:ascii="Arial" w:cs="Arial" w:eastAsia="Arial" w:hAnsi="Arial"/>
          <w:color w:val="333333"/>
          <w:sz w:val="20"/>
          <w:szCs w:val="20"/>
        </w:rPr>
        <w:t xml:space="preserve">Microsoft Learn. (2024, December 3). Get started with Tabular Model Definition Language (TMDL). Microsoft. https://learn.microsoft.com/en-us/analysis-services/tmdl/tmdl-how-to?view=sql-analysis-services-2025</w:t>
      </w:r>
    </w:p>
    <w:p>
      <w:pPr>
        <w:spacing w:after="80" w:before="40"/>
        <w:ind w:left="720" w:hanging="360"/>
      </w:pPr>
      <w:r>
        <w:rPr>
          <w:rFonts w:ascii="Arial" w:cs="Arial" w:eastAsia="Arial" w:hAnsi="Arial"/>
          <w:color w:val="333333"/>
          <w:sz w:val="20"/>
          <w:szCs w:val="20"/>
        </w:rPr>
        <w:t xml:space="preserve">Microsoft Learn. (2024, July 2). Model relationships in Power BI Desktop. Microsoft. https://learn.microsoft.com/en-us/power-bi/transform-model/desktop-relationships-understand</w:t>
      </w:r>
    </w:p>
    <w:p>
      <w:pPr>
        <w:spacing w:after="80" w:before="40"/>
        <w:ind w:left="720" w:hanging="360"/>
      </w:pPr>
      <w:r>
        <w:rPr>
          <w:rFonts w:ascii="Arial" w:cs="Arial" w:eastAsia="Arial" w:hAnsi="Arial"/>
          <w:color w:val="333333"/>
          <w:sz w:val="20"/>
          <w:szCs w:val="20"/>
        </w:rPr>
        <w:t xml:space="preserve">Microsoft Learn. (2024, December 30). Learn from customer Power BI migrations. https://learn.microsoft.com/en-us/power-bi/guidance/powerbi-migration-learn-from-customers</w:t>
      </w:r>
    </w:p>
    <w:p>
      <w:pPr>
        <w:spacing w:after="80" w:before="40"/>
        <w:ind w:left="720" w:hanging="360"/>
      </w:pPr>
      <w:r>
        <w:rPr>
          <w:rFonts w:ascii="Arial" w:cs="Arial" w:eastAsia="Arial" w:hAnsi="Arial"/>
          <w:color w:val="333333"/>
          <w:sz w:val="20"/>
          <w:szCs w:val="20"/>
        </w:rPr>
        <w:t xml:space="preserve">Microsoft Learn. (2024, December 30). Power BI migration overview. https://learn.microsoft.com/en-us/power-bi/guidance/powerbi-migration-overview</w:t>
      </w:r>
    </w:p>
    <w:p>
      <w:pPr>
        <w:spacing w:after="80" w:before="40"/>
        <w:ind w:left="720" w:hanging="360"/>
      </w:pPr>
      <w:r>
        <w:rPr>
          <w:rFonts w:ascii="Arial" w:cs="Arial" w:eastAsia="Arial" w:hAnsi="Arial"/>
          <w:color w:val="333333"/>
          <w:sz w:val="20"/>
          <w:szCs w:val="20"/>
        </w:rPr>
        <w:t xml:space="preserve">Qlik. (2024a, December 31). Script syntax and chart functions — QlikView. Qlik Help. https://help.qlik.com/en-US/qlikview/September2025/Subsystems/Client/Content/QV_QlikView/Scripting/script-syntax.htm</w:t>
      </w:r>
    </w:p>
    <w:p>
      <w:pPr>
        <w:spacing w:after="80" w:before="40"/>
        <w:ind w:left="720" w:hanging="360"/>
      </w:pPr>
      <w:r>
        <w:rPr>
          <w:rFonts w:ascii="Arial" w:cs="Arial" w:eastAsia="Arial" w:hAnsi="Arial"/>
          <w:color w:val="333333"/>
          <w:sz w:val="20"/>
          <w:szCs w:val="20"/>
        </w:rPr>
        <w:t xml:space="preserve">Qlik. (2024b, December 31). Binary — QlikView. Qlik Help. https://help.qlik.com/en-US/qlikview/September2025/Subsystems/Client/Content/QV_QlikView/Scripting/ScriptRegularStatements/Binary.htm</w:t>
      </w:r>
    </w:p>
    <w:p>
      <w:pPr>
        <w:spacing w:after="80" w:before="40"/>
        <w:ind w:left="720" w:hanging="360"/>
      </w:pPr>
      <w:r>
        <w:rPr>
          <w:rFonts w:ascii="Arial" w:cs="Arial" w:eastAsia="Arial" w:hAnsi="Arial"/>
          <w:color w:val="333333"/>
          <w:sz w:val="20"/>
          <w:szCs w:val="20"/>
        </w:rPr>
        <w:t xml:space="preserve">University of Venice. (n.d.). Master's degree programme in data analytics [PDF]. http://dspace.unive.it/bitstream/handle/10579/23228/886734-1269085.pdf?sequence=2</w:t>
      </w:r>
    </w:p>
    <w:p>
      <w:pPr>
        <w:spacing w:after="80" w:before="40"/>
        <w:ind w:left="720" w:hanging="360"/>
      </w:pPr>
      <w:r>
        <w:rPr>
          <w:rFonts w:ascii="Arial" w:cs="Arial" w:eastAsia="Arial" w:hAnsi="Arial"/>
          <w:color w:val="333333"/>
          <w:sz w:val="20"/>
          <w:szCs w:val="20"/>
        </w:rPr>
        <w:t xml:space="preserve">Bacancy Technology. (2026, March 24). Qlik to Power BI migration: Complete guide for 2026. https://www.bacancytechnology.com/insights/qlik-to-power-bi-migration</w:t>
      </w:r>
    </w:p>
    <w:p>
      <w:pPr>
        <w:spacing w:after="80" w:before="40"/>
        <w:ind w:left="720" w:hanging="360"/>
      </w:pPr>
      <w:r>
        <w:rPr>
          <w:rFonts w:ascii="Arial" w:cs="Arial" w:eastAsia="Arial" w:hAnsi="Arial"/>
          <w:color w:val="333333"/>
          <w:sz w:val="20"/>
          <w:szCs w:val="20"/>
        </w:rPr>
        <w:t xml:space="preserve">KPI Partners. (2026, January 14). Qlik to Power BI migration — tech giant based in Bay Area. https://www.kpipartners.com/case-studies/qlik-to-power-bi-migration-tech-giant-based-in-bay-area</w:t>
      </w:r>
    </w:p>
    <w:p>
      <w:pPr>
        <w:spacing w:after="80" w:before="40"/>
        <w:ind w:left="720" w:hanging="360"/>
      </w:pPr>
      <w:r>
        <w:rPr>
          <w:rFonts w:ascii="Arial" w:cs="Arial" w:eastAsia="Arial" w:hAnsi="Arial"/>
          <w:color w:val="333333"/>
          <w:sz w:val="20"/>
          <w:szCs w:val="20"/>
        </w:rPr>
        <w:t xml:space="preserve">Leaplytics. (2023, August 5). QlikView migration to Power BI. https://www.leaplytics.de/qlikview-migration-to-power-bi/</w:t>
      </w:r>
    </w:p>
    <w:p>
      <w:pPr>
        <w:spacing w:after="80" w:before="40"/>
        <w:ind w:left="720" w:hanging="360"/>
      </w:pPr>
      <w:r>
        <w:rPr>
          <w:rFonts w:ascii="Arial" w:cs="Arial" w:eastAsia="Arial" w:hAnsi="Arial"/>
          <w:color w:val="333333"/>
          <w:sz w:val="20"/>
          <w:szCs w:val="20"/>
        </w:rPr>
        <w:t xml:space="preserve">Multishoring. (2026, January 28). Power BI migration ROI: Cost reduction &amp; tool consolidation. https://multishoring.com/blog/power-bi-migration-roi/</w:t>
      </w:r>
    </w:p>
    <w:p>
      <w:pPr>
        <w:spacing w:after="80" w:before="40"/>
        <w:ind w:left="720" w:hanging="360"/>
      </w:pPr>
      <w:r>
        <w:rPr>
          <w:rFonts w:ascii="Arial" w:cs="Arial" w:eastAsia="Arial" w:hAnsi="Arial"/>
          <w:color w:val="333333"/>
          <w:sz w:val="20"/>
          <w:szCs w:val="20"/>
        </w:rPr>
        <w:t xml:space="preserve">Winwire. (2025, January 8). Agentic Qlik to Power BI migration | AI automation. https://www.winwire.com/blog/qlik-to-power-bi-migration/</w:t>
      </w:r>
    </w:p>
    <w:p>
      <w:pPr>
        <w:spacing w:after="80" w:before="40"/>
        <w:ind w:left="720" w:hanging="360"/>
      </w:pPr>
      <w:r>
        <w:rPr>
          <w:rFonts w:ascii="Arial" w:cs="Arial" w:eastAsia="Arial" w:hAnsi="Arial"/>
          <w:color w:val="333333"/>
          <w:sz w:val="20"/>
          <w:szCs w:val="20"/>
        </w:rPr>
        <w:t xml:space="preserve">Ataya, A. (2025, October 14). AI agent with eyes and hands — Computer vision automation tutorial [Video]. YouTube. https://www.youtube.com/watch?v=ctYNiMqtrVs</w:t>
      </w:r>
    </w:p>
    <w:p>
      <w:pPr>
        <w:spacing w:after="80" w:before="40"/>
        <w:ind w:left="720" w:hanging="360"/>
      </w:pPr>
      <w:r>
        <w:rPr>
          <w:rFonts w:ascii="Arial" w:cs="Arial" w:eastAsia="Arial" w:hAnsi="Arial"/>
          <w:color w:val="333333"/>
          <w:sz w:val="20"/>
          <w:szCs w:val="20"/>
        </w:rPr>
        <w:t xml:space="preserve">Boomi. (2025, September 15). What is robotic process automation (RPA)? https://boomi.com/blog/what-is-rpa/</w:t>
      </w:r>
    </w:p>
    <w:p>
      <w:pPr>
        <w:spacing w:after="80" w:before="40"/>
        <w:ind w:left="720" w:hanging="360"/>
      </w:pPr>
      <w:r>
        <w:rPr>
          <w:rFonts w:ascii="Arial" w:cs="Arial" w:eastAsia="Arial" w:hAnsi="Arial"/>
          <w:color w:val="333333"/>
          <w:sz w:val="20"/>
          <w:szCs w:val="20"/>
        </w:rPr>
        <w:t xml:space="preserve">Conexiom. (2024, June 17). What are robotic process automation and intelligent automation. https://conexiom.com/blog/what-are-robotic-process-automation-and-intelligent-automation</w:t>
      </w:r>
    </w:p>
    <w:p>
      <w:pPr>
        <w:spacing w:after="80" w:before="40"/>
        <w:ind w:left="720" w:hanging="360"/>
      </w:pPr>
      <w:r>
        <w:rPr>
          <w:rFonts w:ascii="Arial" w:cs="Arial" w:eastAsia="Arial" w:hAnsi="Arial"/>
          <w:color w:val="333333"/>
          <w:sz w:val="20"/>
          <w:szCs w:val="20"/>
        </w:rPr>
        <w:t xml:space="preserve">QACred. (2025, October 8). Automating legacy desktop apps: Is it possible or even worth it? https://qacred.com/legacy-desktop-automation.php</w:t>
      </w:r>
    </w:p>
    <w:p>
      <w:pPr>
        <w:spacing w:after="80" w:before="40"/>
        <w:ind w:left="720" w:hanging="360"/>
      </w:pPr>
      <w:r>
        <w:rPr>
          <w:rFonts w:ascii="Arial" w:cs="Arial" w:eastAsia="Arial" w:hAnsi="Arial"/>
          <w:color w:val="333333"/>
          <w:sz w:val="20"/>
          <w:szCs w:val="20"/>
        </w:rPr>
        <w:t xml:space="preserve">Sweigart, A. (2019). Automate the boring stuff with Python. No Starch Press.</w:t>
      </w:r>
    </w:p>
    <w:p>
      <w:pPr>
        <w:spacing w:after="80" w:before="40"/>
        <w:ind w:left="720" w:hanging="360"/>
      </w:pPr>
      <w:r>
        <w:rPr>
          <w:rFonts w:ascii="Arial" w:cs="Arial" w:eastAsia="Arial" w:hAnsi="Arial"/>
          <w:color w:val="333333"/>
          <w:sz w:val="20"/>
          <w:szCs w:val="20"/>
        </w:rPr>
        <w:t xml:space="preserve">OpenAI. (2023). GPT-4 technical report. arXiv preprint arXiv:2303.08774.</w:t>
      </w:r>
    </w:p>
    <w:p>
      <w:pPr>
        <w:spacing w:after="80" w:before="40"/>
        <w:ind w:left="720" w:hanging="360"/>
      </w:pPr>
      <w:r>
        <w:rPr>
          <w:rFonts w:ascii="Arial" w:cs="Arial" w:eastAsia="Arial" w:hAnsi="Arial"/>
          <w:color w:val="333333"/>
          <w:sz w:val="20"/>
          <w:szCs w:val="20"/>
        </w:rPr>
        <w:t xml:space="preserve">OpenAI. (2024). GPT-4o: Multimodal model with vision and audio capabilities.</w:t>
      </w:r>
    </w:p>
    <w:p>
      <w:pPr>
        <w:spacing w:after="40" w:before="4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the platform — Capstone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2E2B6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3C348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2026-05-11T05:11:34.124Z</dcterms:created>
  <dcterms:modified xsi:type="dcterms:W3CDTF">2026-05-11T05:11:34.124Z</dcterms:modified>
</cp:coreProperties>
</file>

<file path=docProps/custom.xml><?xml version="1.0" encoding="utf-8"?>
<Properties xmlns="http://schemas.openxmlformats.org/officeDocument/2006/custom-properties" xmlns:vt="http://schemas.openxmlformats.org/officeDocument/2006/docPropsVTypes"/>
</file>