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Khmer Sign Language — Algorithm Comparison</w:t>
      </w:r>
    </w:p>
    <w:p>
      <w:pPr>
        <w:spacing w:after="320"/>
        <w:jc w:val="center"/>
      </w:pPr>
      <w:r>
        <w:rPr>
          <w:rFonts w:ascii="Calibri" w:hAnsi="Calibri"/>
          <w:b w:val="0"/>
          <w:i/>
          <w:color w:val="595959"/>
          <w:sz w:val="24"/>
        </w:rPr>
        <w:t>9 algorithms on 2359 recordings of 7 signs</w:t>
      </w:r>
    </w:p>
    <w:p>
      <w:pPr>
        <w:pStyle w:val="Heading1"/>
      </w:pPr>
      <w:r>
        <w:t>1. Data and method</w:t>
      </w:r>
    </w:p>
    <w:p>
      <w:pPr>
        <w:spacing w:after="120"/>
      </w:pPr>
      <w:r>
        <w:rPr>
          <w:rFonts w:ascii="Calibri" w:hAnsi="Calibri"/>
          <w:b w:val="0"/>
          <w:i w:val="0"/>
          <w:sz w:val="22"/>
        </w:rPr>
        <w:t>Signs are recognised from pose landmarks rather than images. Each recording is 60 frames of 48 tracked joints — six body points plus 21 landmarks on each hand — which is summarised into 576 features (the mean, standard deviation, minimum and maximum of every joint coordinate over the clip).</w:t>
      </w:r>
    </w:p>
    <w:tbl>
      <w:tblPr>
        <w:tblStyle w:val="TableGrid"/>
        <w:tblW w:type="auto" w:w="0"/>
        <w:jc w:val="center"/>
        <w:tblLook w:firstColumn="1" w:firstRow="1" w:lastColumn="0" w:lastRow="0" w:noHBand="0" w:noVBand="1" w:val="04A0"/>
      </w:tblPr>
      <w:tblGrid>
        <w:gridCol w:w="4824"/>
        <w:gridCol w:w="4824"/>
      </w:tblGrid>
      <w:tr>
        <w:tc>
          <w:tcPr>
            <w:tcW w:type="dxa" w:w="2016"/>
            <w:shd w:val="clear" w:fill="D9E2F3"/>
          </w:tcPr>
          <w:p>
            <w:pPr>
              <w:jc w:val="left"/>
            </w:pPr>
            <w:r/>
            <w:r>
              <w:rPr>
                <w:rFonts w:ascii="Calibri" w:hAnsi="Calibri"/>
                <w:b/>
                <w:sz w:val="20"/>
              </w:rPr>
            </w:r>
          </w:p>
        </w:tc>
        <w:tc>
          <w:tcPr>
            <w:tcW w:type="dxa" w:w="7344"/>
            <w:shd w:val="clear" w:fill="D9E2F3"/>
          </w:tcPr>
          <w:p>
            <w:pPr>
              <w:jc w:val="center"/>
            </w:pPr>
            <w:r/>
            <w:r>
              <w:rPr>
                <w:rFonts w:ascii="Calibri" w:hAnsi="Calibri"/>
                <w:b/>
                <w:sz w:val="20"/>
              </w:rPr>
              <w:t>Detail</w:t>
            </w:r>
          </w:p>
        </w:tc>
      </w:tr>
      <w:tr>
        <w:tc>
          <w:tcPr>
            <w:tcW w:type="dxa" w:w="2016"/>
          </w:tcPr>
          <w:p>
            <w:pPr>
              <w:jc w:val="left"/>
            </w:pPr>
            <w:r/>
            <w:r>
              <w:rPr>
                <w:rFonts w:ascii="Calibri" w:hAnsi="Calibri"/>
                <w:sz w:val="20"/>
              </w:rPr>
              <w:t>Signs</w:t>
            </w:r>
          </w:p>
        </w:tc>
        <w:tc>
          <w:tcPr>
            <w:tcW w:type="dxa" w:w="7344"/>
          </w:tcPr>
          <w:p>
            <w:pPr>
              <w:jc w:val="center"/>
            </w:pPr>
            <w:r/>
            <w:r>
              <w:rPr>
                <w:rFonts w:ascii="Calibri" w:hAnsi="Calibri"/>
                <w:sz w:val="20"/>
              </w:rPr>
              <w:t>7 — ជម្រាប់សួរ, អរគុណ, ខុស, ត្រូវ, គ្រួសារ, ប៉ា, ម៉ាក់</w:t>
            </w:r>
          </w:p>
        </w:tc>
      </w:tr>
      <w:tr>
        <w:tc>
          <w:tcPr>
            <w:tcW w:type="dxa" w:w="2016"/>
            <w:shd w:val="clear" w:fill="F2F2F2"/>
          </w:tcPr>
          <w:p>
            <w:pPr>
              <w:jc w:val="left"/>
            </w:pPr>
            <w:r/>
            <w:r>
              <w:rPr>
                <w:rFonts w:ascii="Calibri" w:hAnsi="Calibri"/>
                <w:sz w:val="20"/>
              </w:rPr>
              <w:t>Recordings</w:t>
            </w:r>
          </w:p>
        </w:tc>
        <w:tc>
          <w:tcPr>
            <w:tcW w:type="dxa" w:w="7344"/>
            <w:shd w:val="clear" w:fill="F2F2F2"/>
          </w:tcPr>
          <w:p>
            <w:pPr>
              <w:jc w:val="center"/>
            </w:pPr>
            <w:r/>
            <w:r>
              <w:rPr>
                <w:rFonts w:ascii="Calibri" w:hAnsi="Calibri"/>
                <w:sz w:val="20"/>
              </w:rPr>
              <w:t>2359 takes, 12 per sign</w:t>
            </w:r>
          </w:p>
        </w:tc>
      </w:tr>
      <w:tr>
        <w:tc>
          <w:tcPr>
            <w:tcW w:type="dxa" w:w="2016"/>
          </w:tcPr>
          <w:p>
            <w:pPr>
              <w:jc w:val="left"/>
            </w:pPr>
            <w:r/>
            <w:r>
              <w:rPr>
                <w:rFonts w:ascii="Calibri" w:hAnsi="Calibri"/>
                <w:sz w:val="20"/>
              </w:rPr>
              <w:t>Features</w:t>
            </w:r>
          </w:p>
        </w:tc>
        <w:tc>
          <w:tcPr>
            <w:tcW w:type="dxa" w:w="7344"/>
          </w:tcPr>
          <w:p>
            <w:pPr>
              <w:jc w:val="center"/>
            </w:pPr>
            <w:r/>
            <w:r>
              <w:rPr>
                <w:rFonts w:ascii="Calibri" w:hAnsi="Calibri"/>
                <w:sz w:val="20"/>
              </w:rPr>
              <w:t>576 summary values per take</w:t>
            </w:r>
          </w:p>
        </w:tc>
      </w:tr>
      <w:tr>
        <w:tc>
          <w:tcPr>
            <w:tcW w:type="dxa" w:w="2016"/>
            <w:shd w:val="clear" w:fill="F2F2F2"/>
          </w:tcPr>
          <w:p>
            <w:pPr>
              <w:jc w:val="left"/>
            </w:pPr>
            <w:r/>
            <w:r>
              <w:rPr>
                <w:rFonts w:ascii="Calibri" w:hAnsi="Calibri"/>
                <w:sz w:val="20"/>
              </w:rPr>
              <w:t>Split</w:t>
            </w:r>
          </w:p>
        </w:tc>
        <w:tc>
          <w:tcPr>
            <w:tcW w:type="dxa" w:w="7344"/>
            <w:shd w:val="clear" w:fill="F2F2F2"/>
          </w:tcPr>
          <w:p>
            <w:pPr>
              <w:jc w:val="center"/>
            </w:pPr>
            <w:r/>
            <w:r>
              <w:rPr>
                <w:rFonts w:ascii="Calibri" w:hAnsi="Calibri"/>
                <w:sz w:val="20"/>
              </w:rPr>
              <w:t>75% train / 25% test, split by take, averaged over 8 random splits</w:t>
            </w:r>
          </w:p>
        </w:tc>
      </w:tr>
      <w:tr>
        <w:tc>
          <w:tcPr>
            <w:tcW w:type="dxa" w:w="2016"/>
          </w:tcPr>
          <w:p>
            <w:pPr>
              <w:jc w:val="left"/>
            </w:pPr>
            <w:r/>
            <w:r>
              <w:rPr>
                <w:rFonts w:ascii="Calibri" w:hAnsi="Calibri"/>
                <w:sz w:val="20"/>
              </w:rPr>
              <w:t>Algorithms</w:t>
            </w:r>
          </w:p>
        </w:tc>
        <w:tc>
          <w:tcPr>
            <w:tcW w:type="dxa" w:w="7344"/>
          </w:tcPr>
          <w:p>
            <w:pPr>
              <w:jc w:val="center"/>
            </w:pPr>
            <w:r/>
            <w:r>
              <w:rPr>
                <w:rFonts w:ascii="Calibri" w:hAnsi="Calibri"/>
                <w:sz w:val="20"/>
              </w:rPr>
              <w:t>9, each with the same feature scaling</w:t>
            </w:r>
          </w:p>
        </w:tc>
      </w:tr>
    </w:tbl>
    <w:p>
      <w:pPr>
        <w:spacing w:after="120"/>
      </w:pPr>
      <w:r>
        <w:rPr>
          <w:rFonts w:ascii="Calibri" w:hAnsi="Calibri"/>
          <w:b w:val="0"/>
          <w:i w:val="0"/>
          <w:sz w:val="22"/>
        </w:rPr>
      </w:r>
    </w:p>
    <w:p>
      <w:pPr>
        <w:spacing w:after="120"/>
      </w:pPr>
      <w:r>
        <w:rPr>
          <w:rFonts w:ascii="Calibri" w:hAnsi="Calibri"/>
          <w:b w:val="0"/>
          <w:i/>
          <w:color w:val="595959"/>
          <w:sz w:val="20"/>
        </w:rPr>
        <w:t>The split is by take, not by sample, so no take appears on both sides. Every algorithm is seeded, so the numbers reproduce exactly.</w:t>
      </w:r>
    </w:p>
    <w:p>
      <w:pPr>
        <w:pStyle w:val="Heading1"/>
      </w:pPr>
      <w:r>
        <w:t>2. Results</w:t>
      </w:r>
    </w:p>
    <w:p>
      <w:pPr>
        <w:spacing w:after="120"/>
      </w:pPr>
      <w:r>
        <w:rPr>
          <w:rFonts w:ascii="Calibri" w:hAnsi="Calibri"/>
          <w:b w:val="0"/>
          <w:i w:val="0"/>
          <w:sz w:val="22"/>
        </w:rPr>
        <w:t>Macro-averaged metrics, so every sign counts equally regardless of how many recordings it has. Precision is how often a predicted sign is correct; recall is how often an actual sign is found; macro-F1 balances the two and is the headline number.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448"/>
            <w:shd w:val="clear" w:fill="D9E2F3"/>
          </w:tcPr>
          <w:p>
            <w:pPr>
              <w:jc w:val="left"/>
            </w:pPr>
            <w:r/>
            <w:r>
              <w:rPr>
                <w:rFonts w:ascii="Calibri" w:hAnsi="Calibri"/>
                <w:b/>
                <w:sz w:val="20"/>
              </w:rPr>
              <w:t>Algorithm</w:t>
            </w:r>
          </w:p>
        </w:tc>
        <w:tc>
          <w:tcPr>
            <w:tcW w:type="dxa" w:w="1368"/>
            <w:shd w:val="clear" w:fill="D9E2F3"/>
          </w:tcPr>
          <w:p>
            <w:pPr>
              <w:jc w:val="center"/>
            </w:pPr>
            <w:r/>
            <w:r>
              <w:rPr>
                <w:rFonts w:ascii="Calibri" w:hAnsi="Calibri"/>
                <w:b/>
                <w:sz w:val="20"/>
              </w:rPr>
              <w:t>Accuracy</w:t>
            </w:r>
          </w:p>
        </w:tc>
        <w:tc>
          <w:tcPr>
            <w:tcW w:type="dxa" w:w="1368"/>
            <w:shd w:val="clear" w:fill="D9E2F3"/>
          </w:tcPr>
          <w:p>
            <w:pPr>
              <w:jc w:val="center"/>
            </w:pPr>
            <w:r/>
            <w:r>
              <w:rPr>
                <w:rFonts w:ascii="Calibri" w:hAnsi="Calibri"/>
                <w:b/>
                <w:sz w:val="20"/>
              </w:rPr>
              <w:t>Precision</w:t>
            </w:r>
          </w:p>
        </w:tc>
        <w:tc>
          <w:tcPr>
            <w:tcW w:type="dxa" w:w="1296"/>
            <w:shd w:val="clear" w:fill="D9E2F3"/>
          </w:tcPr>
          <w:p>
            <w:pPr>
              <w:jc w:val="center"/>
            </w:pPr>
            <w:r/>
            <w:r>
              <w:rPr>
                <w:rFonts w:ascii="Calibri" w:hAnsi="Calibri"/>
                <w:b/>
                <w:sz w:val="20"/>
              </w:rPr>
              <w:t>Recall</w:t>
            </w:r>
          </w:p>
        </w:tc>
        <w:tc>
          <w:tcPr>
            <w:tcW w:type="dxa" w:w="1368"/>
            <w:shd w:val="clear" w:fill="D9E2F3"/>
          </w:tcPr>
          <w:p>
            <w:pPr>
              <w:jc w:val="center"/>
            </w:pPr>
            <w:r/>
            <w:r>
              <w:rPr>
                <w:rFonts w:ascii="Calibri" w:hAnsi="Calibri"/>
                <w:b/>
                <w:sz w:val="20"/>
              </w:rPr>
              <w:t>macro-F1</w:t>
            </w:r>
          </w:p>
        </w:tc>
        <w:tc>
          <w:tcPr>
            <w:tcW w:type="dxa" w:w="1080"/>
            <w:shd w:val="clear" w:fill="D9E2F3"/>
          </w:tcPr>
          <w:p>
            <w:pPr>
              <w:jc w:val="center"/>
            </w:pPr>
            <w:r/>
            <w:r>
              <w:rPr>
                <w:rFonts w:ascii="Calibri" w:hAnsi="Calibri"/>
                <w:b/>
                <w:sz w:val="20"/>
              </w:rPr>
              <w:t>s.d.</w:t>
            </w:r>
          </w:p>
        </w:tc>
      </w:tr>
      <w:tr>
        <w:tc>
          <w:tcPr>
            <w:tcW w:type="dxa" w:w="2448"/>
            <w:shd w:val="clear" w:fill="FFF2CC"/>
          </w:tcPr>
          <w:p>
            <w:pPr>
              <w:jc w:val="left"/>
            </w:pPr>
            <w:r/>
            <w:r>
              <w:rPr>
                <w:rFonts w:ascii="Calibri" w:hAnsi="Calibri"/>
                <w:b/>
                <w:sz w:val="20"/>
              </w:rPr>
              <w:t>Gradient Boosting</w:t>
            </w:r>
          </w:p>
        </w:tc>
        <w:tc>
          <w:tcPr>
            <w:tcW w:type="dxa" w:w="1368"/>
            <w:shd w:val="clear" w:fill="FFF2CC"/>
          </w:tcPr>
          <w:p>
            <w:pPr>
              <w:jc w:val="center"/>
            </w:pPr>
            <w:r/>
            <w:r>
              <w:rPr>
                <w:rFonts w:ascii="Calibri" w:hAnsi="Calibri"/>
                <w:b/>
                <w:sz w:val="20"/>
              </w:rPr>
              <w:t>80.1%</w:t>
            </w:r>
          </w:p>
        </w:tc>
        <w:tc>
          <w:tcPr>
            <w:tcW w:type="dxa" w:w="1368"/>
            <w:shd w:val="clear" w:fill="FFF2CC"/>
          </w:tcPr>
          <w:p>
            <w:pPr>
              <w:jc w:val="center"/>
            </w:pPr>
            <w:r/>
            <w:r>
              <w:rPr>
                <w:rFonts w:ascii="Calibri" w:hAnsi="Calibri"/>
                <w:b/>
                <w:sz w:val="20"/>
              </w:rPr>
              <w:t>79.7%</w:t>
            </w:r>
          </w:p>
        </w:tc>
        <w:tc>
          <w:tcPr>
            <w:tcW w:type="dxa" w:w="1296"/>
            <w:shd w:val="clear" w:fill="FFF2CC"/>
          </w:tcPr>
          <w:p>
            <w:pPr>
              <w:jc w:val="center"/>
            </w:pPr>
            <w:r/>
            <w:r>
              <w:rPr>
                <w:rFonts w:ascii="Calibri" w:hAnsi="Calibri"/>
                <w:b/>
                <w:sz w:val="20"/>
              </w:rPr>
              <w:t>79.3%</w:t>
            </w:r>
          </w:p>
        </w:tc>
        <w:tc>
          <w:tcPr>
            <w:tcW w:type="dxa" w:w="1368"/>
            <w:shd w:val="clear" w:fill="FFF2CC"/>
          </w:tcPr>
          <w:p>
            <w:pPr>
              <w:jc w:val="center"/>
            </w:pPr>
            <w:r/>
            <w:r>
              <w:rPr>
                <w:rFonts w:ascii="Calibri" w:hAnsi="Calibri"/>
                <w:b/>
                <w:sz w:val="20"/>
              </w:rPr>
              <w:t>78.7%</w:t>
            </w:r>
          </w:p>
        </w:tc>
        <w:tc>
          <w:tcPr>
            <w:tcW w:type="dxa" w:w="1080"/>
            <w:shd w:val="clear" w:fill="FFF2CC"/>
          </w:tcPr>
          <w:p>
            <w:pPr>
              <w:jc w:val="center"/>
            </w:pPr>
            <w:r/>
            <w:r>
              <w:rPr>
                <w:rFonts w:ascii="Calibri" w:hAnsi="Calibri"/>
                <w:b/>
                <w:sz w:val="20"/>
              </w:rPr>
              <w:t>± 2.1</w:t>
            </w:r>
          </w:p>
        </w:tc>
      </w:tr>
      <w:tr>
        <w:tc>
          <w:tcPr>
            <w:tcW w:type="dxa" w:w="2448"/>
            <w:shd w:val="clear" w:fill="F2F2F2"/>
          </w:tcPr>
          <w:p>
            <w:pPr>
              <w:jc w:val="left"/>
            </w:pPr>
            <w:r/>
            <w:r>
              <w:rPr>
                <w:rFonts w:ascii="Calibri" w:hAnsi="Calibri"/>
                <w:sz w:val="20"/>
              </w:rPr>
              <w:t>Random Forest</w:t>
            </w:r>
          </w:p>
        </w:tc>
        <w:tc>
          <w:tcPr>
            <w:tcW w:type="dxa" w:w="1368"/>
            <w:shd w:val="clear" w:fill="F2F2F2"/>
          </w:tcPr>
          <w:p>
            <w:pPr>
              <w:jc w:val="center"/>
            </w:pPr>
            <w:r/>
            <w:r>
              <w:rPr>
                <w:rFonts w:ascii="Calibri" w:hAnsi="Calibri"/>
                <w:sz w:val="20"/>
              </w:rPr>
              <w:t>77.5%</w:t>
            </w:r>
          </w:p>
        </w:tc>
        <w:tc>
          <w:tcPr>
            <w:tcW w:type="dxa" w:w="1368"/>
            <w:shd w:val="clear" w:fill="F2F2F2"/>
          </w:tcPr>
          <w:p>
            <w:pPr>
              <w:jc w:val="center"/>
            </w:pPr>
            <w:r/>
            <w:r>
              <w:rPr>
                <w:rFonts w:ascii="Calibri" w:hAnsi="Calibri"/>
                <w:sz w:val="20"/>
              </w:rPr>
              <w:t>77.8%</w:t>
            </w:r>
          </w:p>
        </w:tc>
        <w:tc>
          <w:tcPr>
            <w:tcW w:type="dxa" w:w="1296"/>
            <w:shd w:val="clear" w:fill="F2F2F2"/>
          </w:tcPr>
          <w:p>
            <w:pPr>
              <w:jc w:val="center"/>
            </w:pPr>
            <w:r/>
            <w:r>
              <w:rPr>
                <w:rFonts w:ascii="Calibri" w:hAnsi="Calibri"/>
                <w:sz w:val="20"/>
              </w:rPr>
              <w:t>77.5%</w:t>
            </w:r>
          </w:p>
        </w:tc>
        <w:tc>
          <w:tcPr>
            <w:tcW w:type="dxa" w:w="1368"/>
            <w:shd w:val="clear" w:fill="F2F2F2"/>
          </w:tcPr>
          <w:p>
            <w:pPr>
              <w:jc w:val="center"/>
            </w:pPr>
            <w:r/>
            <w:r>
              <w:rPr>
                <w:rFonts w:ascii="Calibri" w:hAnsi="Calibri"/>
                <w:sz w:val="20"/>
              </w:rPr>
              <w:t>76.5%</w:t>
            </w:r>
          </w:p>
        </w:tc>
        <w:tc>
          <w:tcPr>
            <w:tcW w:type="dxa" w:w="1080"/>
            <w:shd w:val="clear" w:fill="F2F2F2"/>
          </w:tcPr>
          <w:p>
            <w:pPr>
              <w:jc w:val="center"/>
            </w:pPr>
            <w:r/>
            <w:r>
              <w:rPr>
                <w:rFonts w:ascii="Calibri" w:hAnsi="Calibri"/>
                <w:sz w:val="20"/>
              </w:rPr>
              <w:t>± 4.0</w:t>
            </w:r>
          </w:p>
        </w:tc>
      </w:tr>
      <w:tr>
        <w:tc>
          <w:tcPr>
            <w:tcW w:type="dxa" w:w="2448"/>
          </w:tcPr>
          <w:p>
            <w:pPr>
              <w:jc w:val="left"/>
            </w:pPr>
            <w:r/>
            <w:r>
              <w:rPr>
                <w:rFonts w:ascii="Calibri" w:hAnsi="Calibri"/>
                <w:sz w:val="20"/>
              </w:rPr>
              <w:t>Bagged Trees</w:t>
            </w:r>
          </w:p>
        </w:tc>
        <w:tc>
          <w:tcPr>
            <w:tcW w:type="dxa" w:w="1368"/>
          </w:tcPr>
          <w:p>
            <w:pPr>
              <w:jc w:val="center"/>
            </w:pPr>
            <w:r/>
            <w:r>
              <w:rPr>
                <w:rFonts w:ascii="Calibri" w:hAnsi="Calibri"/>
                <w:sz w:val="20"/>
              </w:rPr>
              <w:t>75.0%</w:t>
            </w:r>
          </w:p>
        </w:tc>
        <w:tc>
          <w:tcPr>
            <w:tcW w:type="dxa" w:w="1368"/>
          </w:tcPr>
          <w:p>
            <w:pPr>
              <w:jc w:val="center"/>
            </w:pPr>
            <w:r/>
            <w:r>
              <w:rPr>
                <w:rFonts w:ascii="Calibri" w:hAnsi="Calibri"/>
                <w:sz w:val="20"/>
              </w:rPr>
              <w:t>73.6%</w:t>
            </w:r>
          </w:p>
        </w:tc>
        <w:tc>
          <w:tcPr>
            <w:tcW w:type="dxa" w:w="1296"/>
          </w:tcPr>
          <w:p>
            <w:pPr>
              <w:jc w:val="center"/>
            </w:pPr>
            <w:r/>
            <w:r>
              <w:rPr>
                <w:rFonts w:ascii="Calibri" w:hAnsi="Calibri"/>
                <w:sz w:val="20"/>
              </w:rPr>
              <w:t>74.6%</w:t>
            </w:r>
          </w:p>
        </w:tc>
        <w:tc>
          <w:tcPr>
            <w:tcW w:type="dxa" w:w="1368"/>
          </w:tcPr>
          <w:p>
            <w:pPr>
              <w:jc w:val="center"/>
            </w:pPr>
            <w:r/>
            <w:r>
              <w:rPr>
                <w:rFonts w:ascii="Calibri" w:hAnsi="Calibri"/>
                <w:sz w:val="20"/>
              </w:rPr>
              <w:t>73.4%</w:t>
            </w:r>
          </w:p>
        </w:tc>
        <w:tc>
          <w:tcPr>
            <w:tcW w:type="dxa" w:w="1080"/>
          </w:tcPr>
          <w:p>
            <w:pPr>
              <w:jc w:val="center"/>
            </w:pPr>
            <w:r/>
            <w:r>
              <w:rPr>
                <w:rFonts w:ascii="Calibri" w:hAnsi="Calibri"/>
                <w:sz w:val="20"/>
              </w:rPr>
              <w:t>± 4.5</w:t>
            </w:r>
          </w:p>
        </w:tc>
      </w:tr>
      <w:tr>
        <w:tc>
          <w:tcPr>
            <w:tcW w:type="dxa" w:w="2448"/>
            <w:shd w:val="clear" w:fill="F2F2F2"/>
          </w:tcPr>
          <w:p>
            <w:pPr>
              <w:jc w:val="left"/>
            </w:pPr>
            <w:r/>
            <w:r>
              <w:rPr>
                <w:rFonts w:ascii="Calibri" w:hAnsi="Calibri"/>
                <w:sz w:val="20"/>
              </w:rPr>
              <w:t>Logistic Regression</w:t>
            </w:r>
          </w:p>
        </w:tc>
        <w:tc>
          <w:tcPr>
            <w:tcW w:type="dxa" w:w="1368"/>
            <w:shd w:val="clear" w:fill="F2F2F2"/>
          </w:tcPr>
          <w:p>
            <w:pPr>
              <w:jc w:val="center"/>
            </w:pPr>
            <w:r/>
            <w:r>
              <w:rPr>
                <w:rFonts w:ascii="Calibri" w:hAnsi="Calibri"/>
                <w:sz w:val="20"/>
              </w:rPr>
              <w:t>74.6%</w:t>
            </w:r>
          </w:p>
        </w:tc>
        <w:tc>
          <w:tcPr>
            <w:tcW w:type="dxa" w:w="1368"/>
            <w:shd w:val="clear" w:fill="F2F2F2"/>
          </w:tcPr>
          <w:p>
            <w:pPr>
              <w:jc w:val="center"/>
            </w:pPr>
            <w:r/>
            <w:r>
              <w:rPr>
                <w:rFonts w:ascii="Calibri" w:hAnsi="Calibri"/>
                <w:sz w:val="20"/>
              </w:rPr>
              <w:t>74.1%</w:t>
            </w:r>
          </w:p>
        </w:tc>
        <w:tc>
          <w:tcPr>
            <w:tcW w:type="dxa" w:w="1296"/>
            <w:shd w:val="clear" w:fill="F2F2F2"/>
          </w:tcPr>
          <w:p>
            <w:pPr>
              <w:jc w:val="center"/>
            </w:pPr>
            <w:r/>
            <w:r>
              <w:rPr>
                <w:rFonts w:ascii="Calibri" w:hAnsi="Calibri"/>
                <w:sz w:val="20"/>
              </w:rPr>
              <w:t>73.9%</w:t>
            </w:r>
          </w:p>
        </w:tc>
        <w:tc>
          <w:tcPr>
            <w:tcW w:type="dxa" w:w="1368"/>
            <w:shd w:val="clear" w:fill="F2F2F2"/>
          </w:tcPr>
          <w:p>
            <w:pPr>
              <w:jc w:val="center"/>
            </w:pPr>
            <w:r/>
            <w:r>
              <w:rPr>
                <w:rFonts w:ascii="Calibri" w:hAnsi="Calibri"/>
                <w:sz w:val="20"/>
              </w:rPr>
              <w:t>73.3%</w:t>
            </w:r>
          </w:p>
        </w:tc>
        <w:tc>
          <w:tcPr>
            <w:tcW w:type="dxa" w:w="1080"/>
            <w:shd w:val="clear" w:fill="F2F2F2"/>
          </w:tcPr>
          <w:p>
            <w:pPr>
              <w:jc w:val="center"/>
            </w:pPr>
            <w:r/>
            <w:r>
              <w:rPr>
                <w:rFonts w:ascii="Calibri" w:hAnsi="Calibri"/>
                <w:sz w:val="20"/>
              </w:rPr>
              <w:t>± 3.0</w:t>
            </w:r>
          </w:p>
        </w:tc>
      </w:tr>
      <w:tr>
        <w:tc>
          <w:tcPr>
            <w:tcW w:type="dxa" w:w="2448"/>
          </w:tcPr>
          <w:p>
            <w:pPr>
              <w:jc w:val="left"/>
            </w:pPr>
            <w:r/>
            <w:r>
              <w:rPr>
                <w:rFonts w:ascii="Calibri" w:hAnsi="Calibri"/>
                <w:sz w:val="20"/>
              </w:rPr>
              <w:t>MLP</w:t>
            </w:r>
          </w:p>
        </w:tc>
        <w:tc>
          <w:tcPr>
            <w:tcW w:type="dxa" w:w="1368"/>
          </w:tcPr>
          <w:p>
            <w:pPr>
              <w:jc w:val="center"/>
            </w:pPr>
            <w:r/>
            <w:r>
              <w:rPr>
                <w:rFonts w:ascii="Calibri" w:hAnsi="Calibri"/>
                <w:sz w:val="20"/>
              </w:rPr>
              <w:t>73.1%</w:t>
            </w:r>
          </w:p>
        </w:tc>
        <w:tc>
          <w:tcPr>
            <w:tcW w:type="dxa" w:w="1368"/>
          </w:tcPr>
          <w:p>
            <w:pPr>
              <w:jc w:val="center"/>
            </w:pPr>
            <w:r/>
            <w:r>
              <w:rPr>
                <w:rFonts w:ascii="Calibri" w:hAnsi="Calibri"/>
                <w:sz w:val="20"/>
              </w:rPr>
              <w:t>73.1%</w:t>
            </w:r>
          </w:p>
        </w:tc>
        <w:tc>
          <w:tcPr>
            <w:tcW w:type="dxa" w:w="1296"/>
          </w:tcPr>
          <w:p>
            <w:pPr>
              <w:jc w:val="center"/>
            </w:pPr>
            <w:r/>
            <w:r>
              <w:rPr>
                <w:rFonts w:ascii="Calibri" w:hAnsi="Calibri"/>
                <w:sz w:val="20"/>
              </w:rPr>
              <w:t>72.7%</w:t>
            </w:r>
          </w:p>
        </w:tc>
        <w:tc>
          <w:tcPr>
            <w:tcW w:type="dxa" w:w="1368"/>
          </w:tcPr>
          <w:p>
            <w:pPr>
              <w:jc w:val="center"/>
            </w:pPr>
            <w:r/>
            <w:r>
              <w:rPr>
                <w:rFonts w:ascii="Calibri" w:hAnsi="Calibri"/>
                <w:sz w:val="20"/>
              </w:rPr>
              <w:t>71.9%</w:t>
            </w:r>
          </w:p>
        </w:tc>
        <w:tc>
          <w:tcPr>
            <w:tcW w:type="dxa" w:w="1080"/>
          </w:tcPr>
          <w:p>
            <w:pPr>
              <w:jc w:val="center"/>
            </w:pPr>
            <w:r/>
            <w:r>
              <w:rPr>
                <w:rFonts w:ascii="Calibri" w:hAnsi="Calibri"/>
                <w:sz w:val="20"/>
              </w:rPr>
              <w:t>± 5.0</w:t>
            </w:r>
          </w:p>
        </w:tc>
      </w:tr>
      <w:tr>
        <w:tc>
          <w:tcPr>
            <w:tcW w:type="dxa" w:w="2448"/>
            <w:shd w:val="clear" w:fill="F2F2F2"/>
          </w:tcPr>
          <w:p>
            <w:pPr>
              <w:jc w:val="left"/>
            </w:pPr>
            <w:r/>
            <w:r>
              <w:rPr>
                <w:rFonts w:ascii="Calibri" w:hAnsi="Calibri"/>
                <w:sz w:val="20"/>
              </w:rPr>
              <w:t>SVM</w:t>
            </w:r>
          </w:p>
        </w:tc>
        <w:tc>
          <w:tcPr>
            <w:tcW w:type="dxa" w:w="1368"/>
            <w:shd w:val="clear" w:fill="F2F2F2"/>
          </w:tcPr>
          <w:p>
            <w:pPr>
              <w:jc w:val="center"/>
            </w:pPr>
            <w:r/>
            <w:r>
              <w:rPr>
                <w:rFonts w:ascii="Calibri" w:hAnsi="Calibri"/>
                <w:sz w:val="20"/>
              </w:rPr>
              <w:t>72.8%</w:t>
            </w:r>
          </w:p>
        </w:tc>
        <w:tc>
          <w:tcPr>
            <w:tcW w:type="dxa" w:w="1368"/>
            <w:shd w:val="clear" w:fill="F2F2F2"/>
          </w:tcPr>
          <w:p>
            <w:pPr>
              <w:jc w:val="center"/>
            </w:pPr>
            <w:r/>
            <w:r>
              <w:rPr>
                <w:rFonts w:ascii="Calibri" w:hAnsi="Calibri"/>
                <w:sz w:val="20"/>
              </w:rPr>
              <w:t>73.5%</w:t>
            </w:r>
          </w:p>
        </w:tc>
        <w:tc>
          <w:tcPr>
            <w:tcW w:type="dxa" w:w="1296"/>
            <w:shd w:val="clear" w:fill="F2F2F2"/>
          </w:tcPr>
          <w:p>
            <w:pPr>
              <w:jc w:val="center"/>
            </w:pPr>
            <w:r/>
            <w:r>
              <w:rPr>
                <w:rFonts w:ascii="Calibri" w:hAnsi="Calibri"/>
                <w:sz w:val="20"/>
              </w:rPr>
              <w:t>72.6%</w:t>
            </w:r>
          </w:p>
        </w:tc>
        <w:tc>
          <w:tcPr>
            <w:tcW w:type="dxa" w:w="1368"/>
            <w:shd w:val="clear" w:fill="F2F2F2"/>
          </w:tcPr>
          <w:p>
            <w:pPr>
              <w:jc w:val="center"/>
            </w:pPr>
            <w:r/>
            <w:r>
              <w:rPr>
                <w:rFonts w:ascii="Calibri" w:hAnsi="Calibri"/>
                <w:sz w:val="20"/>
              </w:rPr>
              <w:t>71.9%</w:t>
            </w:r>
          </w:p>
        </w:tc>
        <w:tc>
          <w:tcPr>
            <w:tcW w:type="dxa" w:w="1080"/>
            <w:shd w:val="clear" w:fill="F2F2F2"/>
          </w:tcPr>
          <w:p>
            <w:pPr>
              <w:jc w:val="center"/>
            </w:pPr>
            <w:r/>
            <w:r>
              <w:rPr>
                <w:rFonts w:ascii="Calibri" w:hAnsi="Calibri"/>
                <w:sz w:val="20"/>
              </w:rPr>
              <w:t>± 2.7</w:t>
            </w:r>
          </w:p>
        </w:tc>
      </w:tr>
      <w:tr>
        <w:tc>
          <w:tcPr>
            <w:tcW w:type="dxa" w:w="2448"/>
          </w:tcPr>
          <w:p>
            <w:pPr>
              <w:jc w:val="left"/>
            </w:pPr>
            <w:r/>
            <w:r>
              <w:rPr>
                <w:rFonts w:ascii="Calibri" w:hAnsi="Calibri"/>
                <w:sz w:val="20"/>
              </w:rPr>
              <w:t>Decision Tree</w:t>
            </w:r>
          </w:p>
        </w:tc>
        <w:tc>
          <w:tcPr>
            <w:tcW w:type="dxa" w:w="1368"/>
          </w:tcPr>
          <w:p>
            <w:pPr>
              <w:jc w:val="center"/>
            </w:pPr>
            <w:r/>
            <w:r>
              <w:rPr>
                <w:rFonts w:ascii="Calibri" w:hAnsi="Calibri"/>
                <w:sz w:val="20"/>
              </w:rPr>
              <w:t>64.4%</w:t>
            </w:r>
          </w:p>
        </w:tc>
        <w:tc>
          <w:tcPr>
            <w:tcW w:type="dxa" w:w="1368"/>
          </w:tcPr>
          <w:p>
            <w:pPr>
              <w:jc w:val="center"/>
            </w:pPr>
            <w:r/>
            <w:r>
              <w:rPr>
                <w:rFonts w:ascii="Calibri" w:hAnsi="Calibri"/>
                <w:sz w:val="20"/>
              </w:rPr>
              <w:t>64.3%</w:t>
            </w:r>
          </w:p>
        </w:tc>
        <w:tc>
          <w:tcPr>
            <w:tcW w:type="dxa" w:w="1296"/>
          </w:tcPr>
          <w:p>
            <w:pPr>
              <w:jc w:val="center"/>
            </w:pPr>
            <w:r/>
            <w:r>
              <w:rPr>
                <w:rFonts w:ascii="Calibri" w:hAnsi="Calibri"/>
                <w:sz w:val="20"/>
              </w:rPr>
              <w:t>63.4%</w:t>
            </w:r>
          </w:p>
        </w:tc>
        <w:tc>
          <w:tcPr>
            <w:tcW w:type="dxa" w:w="1368"/>
          </w:tcPr>
          <w:p>
            <w:pPr>
              <w:jc w:val="center"/>
            </w:pPr>
            <w:r/>
            <w:r>
              <w:rPr>
                <w:rFonts w:ascii="Calibri" w:hAnsi="Calibri"/>
                <w:sz w:val="20"/>
              </w:rPr>
              <w:t>62.6%</w:t>
            </w:r>
          </w:p>
        </w:tc>
        <w:tc>
          <w:tcPr>
            <w:tcW w:type="dxa" w:w="1080"/>
          </w:tcPr>
          <w:p>
            <w:pPr>
              <w:jc w:val="center"/>
            </w:pPr>
            <w:r/>
            <w:r>
              <w:rPr>
                <w:rFonts w:ascii="Calibri" w:hAnsi="Calibri"/>
                <w:sz w:val="20"/>
              </w:rPr>
              <w:t>± 3.3</w:t>
            </w:r>
          </w:p>
        </w:tc>
      </w:tr>
      <w:tr>
        <w:tc>
          <w:tcPr>
            <w:tcW w:type="dxa" w:w="2448"/>
            <w:shd w:val="clear" w:fill="F2F2F2"/>
          </w:tcPr>
          <w:p>
            <w:pPr>
              <w:jc w:val="left"/>
            </w:pPr>
            <w:r/>
            <w:r>
              <w:rPr>
                <w:rFonts w:ascii="Calibri" w:hAnsi="Calibri"/>
                <w:sz w:val="20"/>
              </w:rPr>
              <w:t>k-NN</w:t>
            </w:r>
          </w:p>
        </w:tc>
        <w:tc>
          <w:tcPr>
            <w:tcW w:type="dxa" w:w="1368"/>
            <w:shd w:val="clear" w:fill="F2F2F2"/>
          </w:tcPr>
          <w:p>
            <w:pPr>
              <w:jc w:val="center"/>
            </w:pPr>
            <w:r/>
            <w:r>
              <w:rPr>
                <w:rFonts w:ascii="Calibri" w:hAnsi="Calibri"/>
                <w:sz w:val="20"/>
              </w:rPr>
              <w:t>56.1%</w:t>
            </w:r>
          </w:p>
        </w:tc>
        <w:tc>
          <w:tcPr>
            <w:tcW w:type="dxa" w:w="1368"/>
            <w:shd w:val="clear" w:fill="F2F2F2"/>
          </w:tcPr>
          <w:p>
            <w:pPr>
              <w:jc w:val="center"/>
            </w:pPr>
            <w:r/>
            <w:r>
              <w:rPr>
                <w:rFonts w:ascii="Calibri" w:hAnsi="Calibri"/>
                <w:sz w:val="20"/>
              </w:rPr>
              <w:t>56.4%</w:t>
            </w:r>
          </w:p>
        </w:tc>
        <w:tc>
          <w:tcPr>
            <w:tcW w:type="dxa" w:w="1296"/>
            <w:shd w:val="clear" w:fill="F2F2F2"/>
          </w:tcPr>
          <w:p>
            <w:pPr>
              <w:jc w:val="center"/>
            </w:pPr>
            <w:r/>
            <w:r>
              <w:rPr>
                <w:rFonts w:ascii="Calibri" w:hAnsi="Calibri"/>
                <w:sz w:val="20"/>
              </w:rPr>
              <w:t>55.9%</w:t>
            </w:r>
          </w:p>
        </w:tc>
        <w:tc>
          <w:tcPr>
            <w:tcW w:type="dxa" w:w="1368"/>
            <w:shd w:val="clear" w:fill="F2F2F2"/>
          </w:tcPr>
          <w:p>
            <w:pPr>
              <w:jc w:val="center"/>
            </w:pPr>
            <w:r/>
            <w:r>
              <w:rPr>
                <w:rFonts w:ascii="Calibri" w:hAnsi="Calibri"/>
                <w:sz w:val="20"/>
              </w:rPr>
              <w:t>54.5%</w:t>
            </w:r>
          </w:p>
        </w:tc>
        <w:tc>
          <w:tcPr>
            <w:tcW w:type="dxa" w:w="1080"/>
            <w:shd w:val="clear" w:fill="F2F2F2"/>
          </w:tcPr>
          <w:p>
            <w:pPr>
              <w:jc w:val="center"/>
            </w:pPr>
            <w:r/>
            <w:r>
              <w:rPr>
                <w:rFonts w:ascii="Calibri" w:hAnsi="Calibri"/>
                <w:sz w:val="20"/>
              </w:rPr>
              <w:t>± 5.4</w:t>
            </w:r>
          </w:p>
        </w:tc>
      </w:tr>
      <w:tr>
        <w:tc>
          <w:tcPr>
            <w:tcW w:type="dxa" w:w="2448"/>
          </w:tcPr>
          <w:p>
            <w:pPr>
              <w:jc w:val="left"/>
            </w:pPr>
            <w:r/>
            <w:r>
              <w:rPr>
                <w:rFonts w:ascii="Calibri" w:hAnsi="Calibri"/>
                <w:sz w:val="20"/>
              </w:rPr>
              <w:t>LDA</w:t>
            </w:r>
          </w:p>
        </w:tc>
        <w:tc>
          <w:tcPr>
            <w:tcW w:type="dxa" w:w="1368"/>
          </w:tcPr>
          <w:p>
            <w:pPr>
              <w:jc w:val="center"/>
            </w:pPr>
            <w:r/>
            <w:r>
              <w:rPr>
                <w:rFonts w:ascii="Calibri" w:hAnsi="Calibri"/>
                <w:sz w:val="20"/>
              </w:rPr>
              <w:t>41.2%</w:t>
            </w:r>
          </w:p>
        </w:tc>
        <w:tc>
          <w:tcPr>
            <w:tcW w:type="dxa" w:w="1368"/>
          </w:tcPr>
          <w:p>
            <w:pPr>
              <w:jc w:val="center"/>
            </w:pPr>
            <w:r/>
            <w:r>
              <w:rPr>
                <w:rFonts w:ascii="Calibri" w:hAnsi="Calibri"/>
                <w:sz w:val="20"/>
              </w:rPr>
              <w:t>44.0%</w:t>
            </w:r>
          </w:p>
        </w:tc>
        <w:tc>
          <w:tcPr>
            <w:tcW w:type="dxa" w:w="1296"/>
          </w:tcPr>
          <w:p>
            <w:pPr>
              <w:jc w:val="center"/>
            </w:pPr>
            <w:r/>
            <w:r>
              <w:rPr>
                <w:rFonts w:ascii="Calibri" w:hAnsi="Calibri"/>
                <w:sz w:val="20"/>
              </w:rPr>
              <w:t>41.6%</w:t>
            </w:r>
          </w:p>
        </w:tc>
        <w:tc>
          <w:tcPr>
            <w:tcW w:type="dxa" w:w="1368"/>
          </w:tcPr>
          <w:p>
            <w:pPr>
              <w:jc w:val="center"/>
            </w:pPr>
            <w:r/>
            <w:r>
              <w:rPr>
                <w:rFonts w:ascii="Calibri" w:hAnsi="Calibri"/>
                <w:sz w:val="20"/>
              </w:rPr>
              <w:t>40.8%</w:t>
            </w:r>
          </w:p>
        </w:tc>
        <w:tc>
          <w:tcPr>
            <w:tcW w:type="dxa" w:w="1080"/>
          </w:tcPr>
          <w:p>
            <w:pPr>
              <w:jc w:val="center"/>
            </w:pPr>
            <w:r/>
            <w:r>
              <w:rPr>
                <w:rFonts w:ascii="Calibri" w:hAnsi="Calibri"/>
                <w:sz w:val="20"/>
              </w:rPr>
              <w:t>± 3.5</w:t>
            </w:r>
          </w:p>
        </w:tc>
      </w:tr>
    </w:tbl>
    <w:p>
      <w:pPr>
        <w:spacing w:after="120"/>
      </w:pPr>
      <w:r>
        <w:rPr>
          <w:rFonts w:ascii="Calibri" w:hAnsi="Calibri"/>
          <w:b w:val="0"/>
          <w:i w:val="0"/>
          <w:sz w:val="22"/>
        </w:rPr>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var_comparison.png"/>
                    <pic:cNvPicPr/>
                  </pic:nvPicPr>
                  <pic:blipFill>
                    <a:blip r:embed="rId9"/>
                    <a:stretch>
                      <a:fillRect/>
                    </a:stretch>
                  </pic:blipFill>
                  <pic:spPr>
                    <a:xfrm>
                      <a:off x="0" y="0"/>
                      <a:ext cx="5852160" cy="2926080"/>
                    </a:xfrm>
                    <a:prstGeom prst="rect"/>
                  </pic:spPr>
                </pic:pic>
              </a:graphicData>
            </a:graphic>
          </wp:inline>
        </w:drawing>
      </w:r>
    </w:p>
    <w:p>
      <w:pPr>
        <w:spacing w:after="280"/>
        <w:jc w:val="center"/>
      </w:pPr>
      <w:r>
        <w:rPr>
          <w:rFonts w:ascii="Calibri" w:hAnsi="Calibri"/>
          <w:b w:val="0"/>
          <w:i/>
          <w:color w:val="595959"/>
          <w:sz w:val="18"/>
        </w:rPr>
        <w:t>Figure 1 — macro-F1 by algorithm. Bars show the standard deviation across the 8 splits.</w:t>
      </w:r>
    </w:p>
    <w:p>
      <w:pPr>
        <w:jc w:val="center"/>
      </w:pPr>
      <w:r>
        <w:drawing>
          <wp:inline xmlns:a="http://schemas.openxmlformats.org/drawingml/2006/main" xmlns:pic="http://schemas.openxmlformats.org/drawingml/2006/picture">
            <wp:extent cx="5852160" cy="2721935"/>
            <wp:docPr id="2" name="Picture 2"/>
            <wp:cNvGraphicFramePr>
              <a:graphicFrameLocks noChangeAspect="1"/>
            </wp:cNvGraphicFramePr>
            <a:graphic>
              <a:graphicData uri="http://schemas.openxmlformats.org/drawingml/2006/picture">
                <pic:pic>
                  <pic:nvPicPr>
                    <pic:cNvPr id="0" name="var_metrics.png"/>
                    <pic:cNvPicPr/>
                  </pic:nvPicPr>
                  <pic:blipFill>
                    <a:blip r:embed="rId10"/>
                    <a:stretch>
                      <a:fillRect/>
                    </a:stretch>
                  </pic:blipFill>
                  <pic:spPr>
                    <a:xfrm>
                      <a:off x="0" y="0"/>
                      <a:ext cx="5852160" cy="2721935"/>
                    </a:xfrm>
                    <a:prstGeom prst="rect"/>
                  </pic:spPr>
                </pic:pic>
              </a:graphicData>
            </a:graphic>
          </wp:inline>
        </w:drawing>
      </w:r>
    </w:p>
    <w:p>
      <w:pPr>
        <w:spacing w:after="280"/>
        <w:jc w:val="center"/>
      </w:pPr>
      <w:r>
        <w:rPr>
          <w:rFonts w:ascii="Calibri" w:hAnsi="Calibri"/>
          <w:b w:val="0"/>
          <w:i/>
          <w:color w:val="595959"/>
          <w:sz w:val="18"/>
        </w:rPr>
        <w:t>Figure 2 — precision, recall and macro-F1 side by side.</w:t>
      </w:r>
    </w:p>
    <w:p>
      <w:pPr>
        <w:spacing w:after="120"/>
      </w:pPr>
      <w:r>
        <w:rPr>
          <w:rFonts w:ascii="Calibri" w:hAnsi="Calibri"/>
          <w:b w:val="0"/>
          <w:i w:val="0"/>
          <w:sz w:val="22"/>
        </w:rPr>
        <w:t>Gradient Boosting scores highest at 78.7% macro-F1, but the top group — Gradient Boosting, Random Forest — sits within one standard deviation of each other. On 2359 recordings that is a statistical tie: any of them is a defensible choice, and the ordering between them would likely change with more data.</w:t>
      </w:r>
    </w:p>
    <w:p>
      <w:pPr>
        <w:spacing w:after="120"/>
      </w:pPr>
      <w:r>
        <w:rPr>
          <w:rFonts w:ascii="Calibri" w:hAnsi="Calibri"/>
          <w:b w:val="0"/>
          <w:i w:val="0"/>
          <w:sz w:val="22"/>
        </w:rPr>
        <w:t>The genuine separation is between that leading group and the rest: the field spans 38 points from best to worst, and LDA at 40.8% is far outside any margin of error.</w:t>
      </w:r>
    </w:p>
    <w:p>
      <w:pPr>
        <w:spacing w:after="120"/>
      </w:pPr>
      <w:r>
        <w:rPr>
          <w:rFonts w:ascii="Calibri" w:hAnsi="Calibri"/>
          <w:b w:val="0"/>
          <w:i w:val="0"/>
          <w:sz w:val="22"/>
        </w:rPr>
        <w:t>Precision and recall stay close together for the stronger algorithms, which means errors are spread across signs rather than one sign being systematically over-predicted.</w:t>
      </w:r>
    </w:p>
    <w:p>
      <w:pPr>
        <w:pStyle w:val="Heading1"/>
      </w:pPr>
      <w:r>
        <w:t>3. Gradient Boosting in detail</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var_per_sign.png"/>
                    <pic:cNvPicPr/>
                  </pic:nvPicPr>
                  <pic:blipFill>
                    <a:blip r:embed="rId11"/>
                    <a:stretch>
                      <a:fillRect/>
                    </a:stretch>
                  </pic:blipFill>
                  <pic:spPr>
                    <a:xfrm>
                      <a:off x="0" y="0"/>
                      <a:ext cx="5486400" cy="2743200"/>
                    </a:xfrm>
                    <a:prstGeom prst="rect"/>
                  </pic:spPr>
                </pic:pic>
              </a:graphicData>
            </a:graphic>
          </wp:inline>
        </w:drawing>
      </w:r>
    </w:p>
    <w:p>
      <w:pPr>
        <w:spacing w:after="280"/>
        <w:jc w:val="center"/>
      </w:pPr>
      <w:r>
        <w:rPr>
          <w:rFonts w:ascii="Calibri" w:hAnsi="Calibri"/>
          <w:b w:val="0"/>
          <w:i/>
          <w:color w:val="595959"/>
          <w:sz w:val="18"/>
        </w:rPr>
        <w:t>Figure 3 — score per sign. Red marks signs below 70%.</w:t>
      </w:r>
    </w:p>
    <w:p>
      <w:pPr>
        <w:spacing w:after="120"/>
      </w:pPr>
      <w:r>
        <w:rPr>
          <w:rFonts w:ascii="Calibri" w:hAnsi="Calibri"/>
          <w:b w:val="0"/>
          <w:i w:val="0"/>
          <w:sz w:val="22"/>
        </w:rPr>
        <w:t>Weakest signs: ជម្រាប់សួរ (60%). These would benefit most from extra recordings.</w:t>
      </w:r>
    </w:p>
    <w:p>
      <w:pPr>
        <w:jc w:val="center"/>
      </w:pPr>
      <w:r>
        <w:drawing>
          <wp:inline xmlns:a="http://schemas.openxmlformats.org/drawingml/2006/main" xmlns:pic="http://schemas.openxmlformats.org/drawingml/2006/picture">
            <wp:extent cx="4114800" cy="3566160"/>
            <wp:docPr id="4" name="Picture 4"/>
            <wp:cNvGraphicFramePr>
              <a:graphicFrameLocks noChangeAspect="1"/>
            </wp:cNvGraphicFramePr>
            <a:graphic>
              <a:graphicData uri="http://schemas.openxmlformats.org/drawingml/2006/picture">
                <pic:pic>
                  <pic:nvPicPr>
                    <pic:cNvPr id="0" name="var_confusion.png"/>
                    <pic:cNvPicPr/>
                  </pic:nvPicPr>
                  <pic:blipFill>
                    <a:blip r:embed="rId12"/>
                    <a:stretch>
                      <a:fillRect/>
                    </a:stretch>
                  </pic:blipFill>
                  <pic:spPr>
                    <a:xfrm>
                      <a:off x="0" y="0"/>
                      <a:ext cx="4114800" cy="3566160"/>
                    </a:xfrm>
                    <a:prstGeom prst="rect"/>
                  </pic:spPr>
                </pic:pic>
              </a:graphicData>
            </a:graphic>
          </wp:inline>
        </w:drawing>
      </w:r>
    </w:p>
    <w:p>
      <w:pPr>
        <w:spacing w:after="280"/>
        <w:jc w:val="center"/>
      </w:pPr>
      <w:r>
        <w:rPr>
          <w:rFonts w:ascii="Calibri" w:hAnsi="Calibri"/>
          <w:b w:val="0"/>
          <w:i/>
          <w:color w:val="595959"/>
          <w:sz w:val="18"/>
        </w:rPr>
        <w:t>Figure 4 — confusion matrix. Rows are the true sign, columns the prediction; the diagonal is correct.</w:t>
      </w:r>
    </w:p>
    <w:p>
      <w:pPr>
        <w:spacing w:after="120"/>
      </w:pPr>
      <w:r>
        <w:rPr>
          <w:rFonts w:ascii="Calibri" w:hAnsi="Calibri"/>
          <w:b w:val="0"/>
          <w:i w:val="0"/>
          <w:sz w:val="22"/>
        </w:rPr>
        <w:t>The most frequent single mistake is ជម្រាប់សួរ predicted as អរគុណ (21 times).</w:t>
      </w:r>
    </w:p>
    <w:p>
      <w:pPr>
        <w:pStyle w:val="Heading1"/>
      </w:pPr>
      <w:r>
        <w:t>4. Did the recording conditions matter?</w:t>
      </w:r>
    </w:p>
    <w:p>
      <w:pPr>
        <w:spacing w:after="120"/>
      </w:pPr>
      <w:r>
        <w:rPr>
          <w:rFonts w:ascii="Calibri" w:hAnsi="Calibri"/>
          <w:b w:val="0"/>
          <w:i w:val="0"/>
          <w:sz w:val="22"/>
        </w:rPr>
        <w:t>The recordings were made on a deliberate grid: each sign was performed under two lighting levels, at two distances from the camera and in three standing positions. That lets us ask whether those choices affect recognition at all.</w:t>
      </w:r>
    </w:p>
    <w:p>
      <w:pPr>
        <w:spacing w:after="120"/>
      </w:pPr>
      <w:r>
        <w:rPr>
          <w:rFonts w:ascii="Calibri" w:hAnsi="Calibri"/>
          <w:b w:val="0"/>
          <w:i w:val="0"/>
          <w:sz w:val="22"/>
        </w:rPr>
        <w:t>To test it, the model was trained on one setting and tested on the other — for example trained only on brightly lit takes and tested only on dim ones. If a setting made no difference, the score would stay near the 79% baseline from Section 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Trained on</w:t>
            </w:r>
          </w:p>
        </w:tc>
        <w:tc>
          <w:tcPr>
            <w:tcW w:type="dxa" w:w="2160"/>
            <w:shd w:val="clear" w:fill="D9E2F3"/>
          </w:tcPr>
          <w:p>
            <w:pPr>
              <w:jc w:val="center"/>
            </w:pPr>
            <w:r/>
            <w:r>
              <w:rPr>
                <w:rFonts w:ascii="Calibri" w:hAnsi="Calibri"/>
                <w:b/>
                <w:sz w:val="20"/>
              </w:rPr>
              <w:t>Tested on</w:t>
            </w:r>
          </w:p>
        </w:tc>
        <w:tc>
          <w:tcPr>
            <w:tcW w:type="dxa" w:w="1728"/>
            <w:shd w:val="clear" w:fill="D9E2F3"/>
          </w:tcPr>
          <w:p>
            <w:pPr>
              <w:jc w:val="center"/>
            </w:pPr>
            <w:r/>
            <w:r>
              <w:rPr>
                <w:rFonts w:ascii="Calibri" w:hAnsi="Calibri"/>
                <w:b/>
                <w:sz w:val="20"/>
              </w:rPr>
              <w:t>macro-F1</w:t>
            </w:r>
          </w:p>
        </w:tc>
        <w:tc>
          <w:tcPr>
            <w:tcW w:type="dxa" w:w="1872"/>
            <w:shd w:val="clear" w:fill="D9E2F3"/>
          </w:tcPr>
          <w:p>
            <w:pPr>
              <w:jc w:val="center"/>
            </w:pPr>
            <w:r/>
            <w:r>
              <w:rPr>
                <w:rFonts w:ascii="Calibri" w:hAnsi="Calibri"/>
                <w:b/>
                <w:sz w:val="20"/>
              </w:rPr>
              <w:t>vs baseline</w:t>
            </w:r>
          </w:p>
        </w:tc>
      </w:tr>
      <w:tr>
        <w:tc>
          <w:tcPr>
            <w:tcW w:type="dxa" w:w="2304"/>
          </w:tcPr>
          <w:p>
            <w:pPr>
              <w:jc w:val="left"/>
            </w:pPr>
            <w:r/>
            <w:r>
              <w:rPr>
                <w:rFonts w:ascii="Calibri" w:hAnsi="Calibri"/>
                <w:sz w:val="20"/>
              </w:rPr>
              <w:t>full light</w:t>
            </w:r>
          </w:p>
        </w:tc>
        <w:tc>
          <w:tcPr>
            <w:tcW w:type="dxa" w:w="2160"/>
          </w:tcPr>
          <w:p>
            <w:pPr>
              <w:jc w:val="center"/>
            </w:pPr>
            <w:r/>
            <w:r>
              <w:rPr>
                <w:rFonts w:ascii="Calibri" w:hAnsi="Calibri"/>
                <w:sz w:val="20"/>
              </w:rPr>
              <w:t>dim light</w:t>
            </w:r>
          </w:p>
        </w:tc>
        <w:tc>
          <w:tcPr>
            <w:tcW w:type="dxa" w:w="1728"/>
          </w:tcPr>
          <w:p>
            <w:pPr>
              <w:jc w:val="center"/>
            </w:pPr>
            <w:r/>
            <w:r>
              <w:rPr>
                <w:rFonts w:ascii="Calibri" w:hAnsi="Calibri"/>
                <w:sz w:val="20"/>
              </w:rPr>
              <w:t>75.1%</w:t>
            </w:r>
          </w:p>
        </w:tc>
        <w:tc>
          <w:tcPr>
            <w:tcW w:type="dxa" w:w="1872"/>
          </w:tcPr>
          <w:p>
            <w:pPr>
              <w:jc w:val="center"/>
            </w:pPr>
            <w:r/>
            <w:r>
              <w:rPr>
                <w:rFonts w:ascii="Calibri" w:hAnsi="Calibri"/>
                <w:sz w:val="20"/>
              </w:rPr>
              <w:t>-3.7</w:t>
            </w:r>
          </w:p>
        </w:tc>
      </w:tr>
      <w:tr>
        <w:tc>
          <w:tcPr>
            <w:tcW w:type="dxa" w:w="2304"/>
            <w:shd w:val="clear" w:fill="F2F2F2"/>
          </w:tcPr>
          <w:p>
            <w:pPr>
              <w:jc w:val="left"/>
            </w:pPr>
            <w:r/>
            <w:r>
              <w:rPr>
                <w:rFonts w:ascii="Calibri" w:hAnsi="Calibri"/>
                <w:sz w:val="20"/>
              </w:rPr>
              <w:t>near</w:t>
            </w:r>
          </w:p>
        </w:tc>
        <w:tc>
          <w:tcPr>
            <w:tcW w:type="dxa" w:w="2160"/>
            <w:shd w:val="clear" w:fill="F2F2F2"/>
          </w:tcPr>
          <w:p>
            <w:pPr>
              <w:jc w:val="center"/>
            </w:pPr>
            <w:r/>
            <w:r>
              <w:rPr>
                <w:rFonts w:ascii="Calibri" w:hAnsi="Calibri"/>
                <w:sz w:val="20"/>
              </w:rPr>
              <w:t>far</w:t>
            </w:r>
          </w:p>
        </w:tc>
        <w:tc>
          <w:tcPr>
            <w:tcW w:type="dxa" w:w="1728"/>
            <w:shd w:val="clear" w:fill="F2F2F2"/>
          </w:tcPr>
          <w:p>
            <w:pPr>
              <w:jc w:val="center"/>
            </w:pPr>
            <w:r/>
            <w:r>
              <w:rPr>
                <w:rFonts w:ascii="Calibri" w:hAnsi="Calibri"/>
                <w:sz w:val="20"/>
              </w:rPr>
              <w:t>70.5%</w:t>
            </w:r>
          </w:p>
        </w:tc>
        <w:tc>
          <w:tcPr>
            <w:tcW w:type="dxa" w:w="1872"/>
            <w:shd w:val="clear" w:fill="F2F2F2"/>
          </w:tcPr>
          <w:p>
            <w:pPr>
              <w:jc w:val="center"/>
            </w:pPr>
            <w:r/>
            <w:r>
              <w:rPr>
                <w:rFonts w:ascii="Calibri" w:hAnsi="Calibri"/>
                <w:sz w:val="20"/>
              </w:rPr>
              <w:t>-8.2</w:t>
            </w:r>
          </w:p>
        </w:tc>
      </w:tr>
      <w:tr>
        <w:tc>
          <w:tcPr>
            <w:tcW w:type="dxa" w:w="2304"/>
          </w:tcPr>
          <w:p>
            <w:pPr>
              <w:jc w:val="left"/>
            </w:pPr>
            <w:r/>
            <w:r>
              <w:rPr>
                <w:rFonts w:ascii="Calibri" w:hAnsi="Calibri"/>
                <w:sz w:val="20"/>
              </w:rPr>
              <w:t>middle/left</w:t>
            </w:r>
          </w:p>
        </w:tc>
        <w:tc>
          <w:tcPr>
            <w:tcW w:type="dxa" w:w="2160"/>
          </w:tcPr>
          <w:p>
            <w:pPr>
              <w:jc w:val="center"/>
            </w:pPr>
            <w:r/>
            <w:r>
              <w:rPr>
                <w:rFonts w:ascii="Calibri" w:hAnsi="Calibri"/>
                <w:sz w:val="20"/>
              </w:rPr>
              <w:t>right</w:t>
            </w:r>
          </w:p>
        </w:tc>
        <w:tc>
          <w:tcPr>
            <w:tcW w:type="dxa" w:w="1728"/>
          </w:tcPr>
          <w:p>
            <w:pPr>
              <w:jc w:val="center"/>
            </w:pPr>
            <w:r/>
            <w:r>
              <w:rPr>
                <w:rFonts w:ascii="Calibri" w:hAnsi="Calibri"/>
                <w:sz w:val="20"/>
              </w:rPr>
              <w:t>76.7%</w:t>
            </w:r>
          </w:p>
        </w:tc>
        <w:tc>
          <w:tcPr>
            <w:tcW w:type="dxa" w:w="1872"/>
          </w:tcPr>
          <w:p>
            <w:pPr>
              <w:jc w:val="center"/>
            </w:pPr>
            <w:r/>
            <w:r>
              <w:rPr>
                <w:rFonts w:ascii="Calibri" w:hAnsi="Calibri"/>
                <w:sz w:val="20"/>
              </w:rPr>
              <w:t>-2.1</w:t>
            </w:r>
          </w:p>
        </w:tc>
      </w:tr>
    </w:tbl>
    <w:p>
      <w:pPr>
        <w:spacing w:after="120"/>
      </w:pPr>
      <w:r>
        <w:rPr>
          <w:rFonts w:ascii="Calibri" w:hAnsi="Calibri"/>
          <w:b w:val="0"/>
          <w:i w:val="0"/>
          <w:sz w:val="22"/>
        </w:rPr>
      </w:r>
    </w:p>
    <w:p>
      <w:pPr>
        <w:spacing w:after="120"/>
      </w:pPr>
      <w:r>
        <w:rPr>
          <w:rFonts w:ascii="Calibri" w:hAnsi="Calibri"/>
          <w:b w:val="0"/>
          <w:i w:val="0"/>
          <w:sz w:val="22"/>
        </w:rPr>
        <w:t>Yes, and unevenly. The gentlest change is middle/left → right, where the model still reaches 77% on a setting it never trained on. The hardest is near → far, which drops to 70% — 8 points below the 79% baseline.</w:t>
      </w:r>
    </w:p>
    <w:p>
      <w:pPr>
        <w:spacing w:after="120"/>
      </w:pPr>
      <w:r>
        <w:rPr>
          <w:rFonts w:ascii="Calibri" w:hAnsi="Calibri"/>
          <w:b w:val="0"/>
          <w:i w:val="0"/>
          <w:sz w:val="22"/>
        </w:rPr>
        <w:t>The practical reading is that the system copes with some changes better than others, and "near → far" is the one to design around. Recordings intended for real use should cover the range the system will actually meet rather than assuming one session generalises.</w:t>
      </w:r>
    </w:p>
    <w:p>
      <w:pPr>
        <w:spacing w:after="120"/>
      </w:pPr>
      <w:r>
        <w:rPr>
          <w:rFonts w:ascii="Calibri" w:hAnsi="Calibri"/>
          <w:b w:val="0"/>
          <w:i w:val="0"/>
          <w:sz w:val="22"/>
        </w:rPr>
        <w:t>How badly lighting hurts depends strongly on the algorithm, and not in the order Section 2 would suggest. Gradient Boosting is the most accurate model overall but falls to 75% here. The most resilient is Random Forest at 77%, despite ranking #2 on the standard comparison:</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9E2F3"/>
          </w:tcPr>
          <w:p>
            <w:pPr>
              <w:jc w:val="left"/>
            </w:pPr>
            <w:r/>
            <w:r>
              <w:rPr>
                <w:rFonts w:ascii="Calibri" w:hAnsi="Calibri"/>
                <w:b/>
                <w:sz w:val="20"/>
              </w:rPr>
              <w:t>Algorithm</w:t>
            </w:r>
          </w:p>
        </w:tc>
        <w:tc>
          <w:tcPr>
            <w:tcW w:type="dxa" w:w="3744"/>
            <w:shd w:val="clear" w:fill="D9E2F3"/>
          </w:tcPr>
          <w:p>
            <w:pPr>
              <w:jc w:val="center"/>
            </w:pPr>
            <w:r/>
            <w:r>
              <w:rPr>
                <w:rFonts w:ascii="Calibri" w:hAnsi="Calibri"/>
                <w:b/>
                <w:sz w:val="20"/>
              </w:rPr>
              <w:t>macro-F1, trained bright / tested dim</w:t>
            </w:r>
          </w:p>
        </w:tc>
        <w:tc>
          <w:tcPr>
            <w:tcW w:type="dxa" w:w="2160"/>
            <w:shd w:val="clear" w:fill="D9E2F3"/>
          </w:tcPr>
          <w:p>
            <w:pPr>
              <w:jc w:val="center"/>
            </w:pPr>
            <w:r/>
            <w:r>
              <w:rPr>
                <w:rFonts w:ascii="Calibri" w:hAnsi="Calibri"/>
                <w:b/>
                <w:sz w:val="20"/>
              </w:rPr>
              <w:t>Rank in Section 2</w:t>
            </w:r>
          </w:p>
        </w:tc>
      </w:tr>
      <w:tr>
        <w:tc>
          <w:tcPr>
            <w:tcW w:type="dxa" w:w="2736"/>
          </w:tcPr>
          <w:p>
            <w:pPr>
              <w:jc w:val="left"/>
            </w:pPr>
            <w:r/>
            <w:r>
              <w:rPr>
                <w:rFonts w:ascii="Calibri" w:hAnsi="Calibri"/>
                <w:sz w:val="20"/>
              </w:rPr>
              <w:t>Random Forest</w:t>
            </w:r>
          </w:p>
        </w:tc>
        <w:tc>
          <w:tcPr>
            <w:tcW w:type="dxa" w:w="3744"/>
          </w:tcPr>
          <w:p>
            <w:pPr>
              <w:jc w:val="center"/>
            </w:pPr>
            <w:r/>
            <w:r>
              <w:rPr>
                <w:rFonts w:ascii="Calibri" w:hAnsi="Calibri"/>
                <w:sz w:val="20"/>
              </w:rPr>
              <w:t>77.4%</w:t>
            </w:r>
          </w:p>
        </w:tc>
        <w:tc>
          <w:tcPr>
            <w:tcW w:type="dxa" w:w="2160"/>
          </w:tcPr>
          <w:p>
            <w:pPr>
              <w:jc w:val="center"/>
            </w:pPr>
            <w:r/>
            <w:r>
              <w:rPr>
                <w:rFonts w:ascii="Calibri" w:hAnsi="Calibri"/>
                <w:sz w:val="20"/>
              </w:rPr>
              <w:t>#2</w:t>
            </w:r>
          </w:p>
        </w:tc>
      </w:tr>
      <w:tr>
        <w:tc>
          <w:tcPr>
            <w:tcW w:type="dxa" w:w="2736"/>
            <w:shd w:val="clear" w:fill="F2F2F2"/>
          </w:tcPr>
          <w:p>
            <w:pPr>
              <w:jc w:val="left"/>
            </w:pPr>
            <w:r/>
            <w:r>
              <w:rPr>
                <w:rFonts w:ascii="Calibri" w:hAnsi="Calibri"/>
                <w:sz w:val="20"/>
              </w:rPr>
              <w:t>Gradient Boosting</w:t>
            </w:r>
          </w:p>
        </w:tc>
        <w:tc>
          <w:tcPr>
            <w:tcW w:type="dxa" w:w="3744"/>
            <w:shd w:val="clear" w:fill="F2F2F2"/>
          </w:tcPr>
          <w:p>
            <w:pPr>
              <w:jc w:val="center"/>
            </w:pPr>
            <w:r/>
            <w:r>
              <w:rPr>
                <w:rFonts w:ascii="Calibri" w:hAnsi="Calibri"/>
                <w:sz w:val="20"/>
              </w:rPr>
              <w:t>75.1%</w:t>
            </w:r>
          </w:p>
        </w:tc>
        <w:tc>
          <w:tcPr>
            <w:tcW w:type="dxa" w:w="2160"/>
            <w:shd w:val="clear" w:fill="F2F2F2"/>
          </w:tcPr>
          <w:p>
            <w:pPr>
              <w:jc w:val="center"/>
            </w:pPr>
            <w:r/>
            <w:r>
              <w:rPr>
                <w:rFonts w:ascii="Calibri" w:hAnsi="Calibri"/>
                <w:sz w:val="20"/>
              </w:rPr>
              <w:t>#1</w:t>
            </w:r>
          </w:p>
        </w:tc>
      </w:tr>
      <w:tr>
        <w:tc>
          <w:tcPr>
            <w:tcW w:type="dxa" w:w="2736"/>
          </w:tcPr>
          <w:p>
            <w:pPr>
              <w:jc w:val="left"/>
            </w:pPr>
            <w:r/>
            <w:r>
              <w:rPr>
                <w:rFonts w:ascii="Calibri" w:hAnsi="Calibri"/>
                <w:sz w:val="20"/>
              </w:rPr>
              <w:t>MLP</w:t>
            </w:r>
          </w:p>
        </w:tc>
        <w:tc>
          <w:tcPr>
            <w:tcW w:type="dxa" w:w="3744"/>
          </w:tcPr>
          <w:p>
            <w:pPr>
              <w:jc w:val="center"/>
            </w:pPr>
            <w:r/>
            <w:r>
              <w:rPr>
                <w:rFonts w:ascii="Calibri" w:hAnsi="Calibri"/>
                <w:sz w:val="20"/>
              </w:rPr>
              <w:t>72.1%</w:t>
            </w:r>
          </w:p>
        </w:tc>
        <w:tc>
          <w:tcPr>
            <w:tcW w:type="dxa" w:w="2160"/>
          </w:tcPr>
          <w:p>
            <w:pPr>
              <w:jc w:val="center"/>
            </w:pPr>
            <w:r/>
            <w:r>
              <w:rPr>
                <w:rFonts w:ascii="Calibri" w:hAnsi="Calibri"/>
                <w:sz w:val="20"/>
              </w:rPr>
              <w:t>#5</w:t>
            </w:r>
          </w:p>
        </w:tc>
      </w:tr>
      <w:tr>
        <w:tc>
          <w:tcPr>
            <w:tcW w:type="dxa" w:w="2736"/>
            <w:shd w:val="clear" w:fill="F2F2F2"/>
          </w:tcPr>
          <w:p>
            <w:pPr>
              <w:jc w:val="left"/>
            </w:pPr>
            <w:r/>
            <w:r>
              <w:rPr>
                <w:rFonts w:ascii="Calibri" w:hAnsi="Calibri"/>
                <w:sz w:val="20"/>
              </w:rPr>
              <w:t>Bagged Trees</w:t>
            </w:r>
          </w:p>
        </w:tc>
        <w:tc>
          <w:tcPr>
            <w:tcW w:type="dxa" w:w="3744"/>
            <w:shd w:val="clear" w:fill="F2F2F2"/>
          </w:tcPr>
          <w:p>
            <w:pPr>
              <w:jc w:val="center"/>
            </w:pPr>
            <w:r/>
            <w:r>
              <w:rPr>
                <w:rFonts w:ascii="Calibri" w:hAnsi="Calibri"/>
                <w:sz w:val="20"/>
              </w:rPr>
              <w:t>70.6%</w:t>
            </w:r>
          </w:p>
        </w:tc>
        <w:tc>
          <w:tcPr>
            <w:tcW w:type="dxa" w:w="2160"/>
            <w:shd w:val="clear" w:fill="F2F2F2"/>
          </w:tcPr>
          <w:p>
            <w:pPr>
              <w:jc w:val="center"/>
            </w:pPr>
            <w:r/>
            <w:r>
              <w:rPr>
                <w:rFonts w:ascii="Calibri" w:hAnsi="Calibri"/>
                <w:sz w:val="20"/>
              </w:rPr>
              <w:t>#3</w:t>
            </w:r>
          </w:p>
        </w:tc>
      </w:tr>
      <w:tr>
        <w:tc>
          <w:tcPr>
            <w:tcW w:type="dxa" w:w="2736"/>
          </w:tcPr>
          <w:p>
            <w:pPr>
              <w:jc w:val="left"/>
            </w:pPr>
            <w:r/>
            <w:r>
              <w:rPr>
                <w:rFonts w:ascii="Calibri" w:hAnsi="Calibri"/>
                <w:sz w:val="20"/>
              </w:rPr>
              <w:t>SVM</w:t>
            </w:r>
          </w:p>
        </w:tc>
        <w:tc>
          <w:tcPr>
            <w:tcW w:type="dxa" w:w="3744"/>
          </w:tcPr>
          <w:p>
            <w:pPr>
              <w:jc w:val="center"/>
            </w:pPr>
            <w:r/>
            <w:r>
              <w:rPr>
                <w:rFonts w:ascii="Calibri" w:hAnsi="Calibri"/>
                <w:sz w:val="20"/>
              </w:rPr>
              <w:t>69.5%</w:t>
            </w:r>
          </w:p>
        </w:tc>
        <w:tc>
          <w:tcPr>
            <w:tcW w:type="dxa" w:w="2160"/>
          </w:tcPr>
          <w:p>
            <w:pPr>
              <w:jc w:val="center"/>
            </w:pPr>
            <w:r/>
            <w:r>
              <w:rPr>
                <w:rFonts w:ascii="Calibri" w:hAnsi="Calibri"/>
                <w:sz w:val="20"/>
              </w:rPr>
              <w:t>#6</w:t>
            </w:r>
          </w:p>
        </w:tc>
      </w:tr>
      <w:tr>
        <w:tc>
          <w:tcPr>
            <w:tcW w:type="dxa" w:w="2736"/>
            <w:shd w:val="clear" w:fill="F2F2F2"/>
          </w:tcPr>
          <w:p>
            <w:pPr>
              <w:jc w:val="left"/>
            </w:pPr>
            <w:r/>
            <w:r>
              <w:rPr>
                <w:rFonts w:ascii="Calibri" w:hAnsi="Calibri"/>
                <w:sz w:val="20"/>
              </w:rPr>
              <w:t>Logistic Regression</w:t>
            </w:r>
          </w:p>
        </w:tc>
        <w:tc>
          <w:tcPr>
            <w:tcW w:type="dxa" w:w="3744"/>
            <w:shd w:val="clear" w:fill="F2F2F2"/>
          </w:tcPr>
          <w:p>
            <w:pPr>
              <w:jc w:val="center"/>
            </w:pPr>
            <w:r/>
            <w:r>
              <w:rPr>
                <w:rFonts w:ascii="Calibri" w:hAnsi="Calibri"/>
                <w:sz w:val="20"/>
              </w:rPr>
              <w:t>67.9%</w:t>
            </w:r>
          </w:p>
        </w:tc>
        <w:tc>
          <w:tcPr>
            <w:tcW w:type="dxa" w:w="2160"/>
            <w:shd w:val="clear" w:fill="F2F2F2"/>
          </w:tcPr>
          <w:p>
            <w:pPr>
              <w:jc w:val="center"/>
            </w:pPr>
            <w:r/>
            <w:r>
              <w:rPr>
                <w:rFonts w:ascii="Calibri" w:hAnsi="Calibri"/>
                <w:sz w:val="20"/>
              </w:rPr>
              <w:t>#4</w:t>
            </w:r>
          </w:p>
        </w:tc>
      </w:tr>
      <w:tr>
        <w:tc>
          <w:tcPr>
            <w:tcW w:type="dxa" w:w="2736"/>
          </w:tcPr>
          <w:p>
            <w:pPr>
              <w:jc w:val="left"/>
            </w:pPr>
            <w:r/>
            <w:r>
              <w:rPr>
                <w:rFonts w:ascii="Calibri" w:hAnsi="Calibri"/>
                <w:sz w:val="20"/>
              </w:rPr>
              <w:t>Decision Tree</w:t>
            </w:r>
          </w:p>
        </w:tc>
        <w:tc>
          <w:tcPr>
            <w:tcW w:type="dxa" w:w="3744"/>
          </w:tcPr>
          <w:p>
            <w:pPr>
              <w:jc w:val="center"/>
            </w:pPr>
            <w:r/>
            <w:r>
              <w:rPr>
                <w:rFonts w:ascii="Calibri" w:hAnsi="Calibri"/>
                <w:sz w:val="20"/>
              </w:rPr>
              <w:t>63.2%</w:t>
            </w:r>
          </w:p>
        </w:tc>
        <w:tc>
          <w:tcPr>
            <w:tcW w:type="dxa" w:w="2160"/>
          </w:tcPr>
          <w:p>
            <w:pPr>
              <w:jc w:val="center"/>
            </w:pPr>
            <w:r/>
            <w:r>
              <w:rPr>
                <w:rFonts w:ascii="Calibri" w:hAnsi="Calibri"/>
                <w:sz w:val="20"/>
              </w:rPr>
              <w:t>#7</w:t>
            </w:r>
          </w:p>
        </w:tc>
      </w:tr>
      <w:tr>
        <w:tc>
          <w:tcPr>
            <w:tcW w:type="dxa" w:w="2736"/>
            <w:shd w:val="clear" w:fill="F2F2F2"/>
          </w:tcPr>
          <w:p>
            <w:pPr>
              <w:jc w:val="left"/>
            </w:pPr>
            <w:r/>
            <w:r>
              <w:rPr>
                <w:rFonts w:ascii="Calibri" w:hAnsi="Calibri"/>
                <w:sz w:val="20"/>
              </w:rPr>
              <w:t>k-NN</w:t>
            </w:r>
          </w:p>
        </w:tc>
        <w:tc>
          <w:tcPr>
            <w:tcW w:type="dxa" w:w="3744"/>
            <w:shd w:val="clear" w:fill="F2F2F2"/>
          </w:tcPr>
          <w:p>
            <w:pPr>
              <w:jc w:val="center"/>
            </w:pPr>
            <w:r/>
            <w:r>
              <w:rPr>
                <w:rFonts w:ascii="Calibri" w:hAnsi="Calibri"/>
                <w:sz w:val="20"/>
              </w:rPr>
              <w:t>58.1%</w:t>
            </w:r>
          </w:p>
        </w:tc>
        <w:tc>
          <w:tcPr>
            <w:tcW w:type="dxa" w:w="2160"/>
            <w:shd w:val="clear" w:fill="F2F2F2"/>
          </w:tcPr>
          <w:p>
            <w:pPr>
              <w:jc w:val="center"/>
            </w:pPr>
            <w:r/>
            <w:r>
              <w:rPr>
                <w:rFonts w:ascii="Calibri" w:hAnsi="Calibri"/>
                <w:sz w:val="20"/>
              </w:rPr>
              <w:t>#8</w:t>
            </w:r>
          </w:p>
        </w:tc>
      </w:tr>
      <w:tr>
        <w:tc>
          <w:tcPr>
            <w:tcW w:type="dxa" w:w="2736"/>
          </w:tcPr>
          <w:p>
            <w:pPr>
              <w:jc w:val="left"/>
            </w:pPr>
            <w:r/>
            <w:r>
              <w:rPr>
                <w:rFonts w:ascii="Calibri" w:hAnsi="Calibri"/>
                <w:sz w:val="20"/>
              </w:rPr>
              <w:t>LDA</w:t>
            </w:r>
          </w:p>
        </w:tc>
        <w:tc>
          <w:tcPr>
            <w:tcW w:type="dxa" w:w="3744"/>
          </w:tcPr>
          <w:p>
            <w:pPr>
              <w:jc w:val="center"/>
            </w:pPr>
            <w:r/>
            <w:r>
              <w:rPr>
                <w:rFonts w:ascii="Calibri" w:hAnsi="Calibri"/>
                <w:sz w:val="20"/>
              </w:rPr>
              <w:t>34.5%</w:t>
            </w:r>
          </w:p>
        </w:tc>
        <w:tc>
          <w:tcPr>
            <w:tcW w:type="dxa" w:w="2160"/>
          </w:tcPr>
          <w:p>
            <w:pPr>
              <w:jc w:val="center"/>
            </w:pPr>
            <w:r/>
            <w:r>
              <w:rPr>
                <w:rFonts w:ascii="Calibri" w:hAnsi="Calibri"/>
                <w:sz w:val="20"/>
              </w:rPr>
              <w:t>#9</w:t>
            </w:r>
          </w:p>
        </w:tc>
      </w:tr>
    </w:tbl>
    <w:p>
      <w:pPr>
        <w:spacing w:after="120"/>
      </w:pPr>
      <w:r>
        <w:rPr>
          <w:rFonts w:ascii="Calibri" w:hAnsi="Calibri"/>
          <w:b w:val="0"/>
          <w:i w:val="0"/>
          <w:sz w:val="22"/>
        </w:rPr>
      </w:r>
    </w:p>
    <w:p>
      <w:pPr>
        <w:spacing w:after="120"/>
      </w:pPr>
      <w:r>
        <w:rPr>
          <w:rFonts w:ascii="Calibri" w:hAnsi="Calibri"/>
          <w:b w:val="0"/>
          <w:i w:val="0"/>
          <w:sz w:val="22"/>
        </w:rPr>
        <w:t>The tree-based models hold up best. They classify by asking whether individual measurements fall above or below thresholds, which survives a shift affecting part of the input, whereas the linear models combine every feature into one weighted sum and are thrown off when those features move together. If the system has to work under lighting it has not seen, that difference matters more than the ranking in Section 2.</w:t>
      </w:r>
    </w:p>
    <w:p>
      <w:pPr>
        <w:spacing w:after="120"/>
      </w:pPr>
      <w:r>
        <w:rPr>
          <w:rFonts w:ascii="Calibri" w:hAnsi="Calibri"/>
          <w:b w:val="0"/>
          <w:i/>
          <w:color w:val="595959"/>
          <w:sz w:val="20"/>
        </w:rPr>
        <w:t>One caveat worth stating: the dim takes were always recorded after the bright ones, so tiredness or drift in how the signs were performed cannot be fully separated from the lighting itself. Recording half the session in the reverse order would settle that.</w:t>
      </w:r>
    </w:p>
    <w:p>
      <w:pPr>
        <w:pStyle w:val="Heading1"/>
      </w:pPr>
      <w:r>
        <w:t>5. Conclusions</w:t>
      </w:r>
    </w:p>
    <w:p>
      <w:pPr>
        <w:pStyle w:val="ListBullet"/>
        <w:spacing w:after="80"/>
      </w:pPr>
      <w:r>
        <w:rPr>
          <w:rFonts w:ascii="Calibri" w:hAnsi="Calibri"/>
          <w:sz w:val="22"/>
        </w:rPr>
        <w:t>Gradient Boosting scores highest at 78.7% macro-F1 (80.1% accuracy), though 2 algorithms are tied within run-to-run variation.</w:t>
      </w:r>
    </w:p>
    <w:p>
      <w:pPr>
        <w:pStyle w:val="ListBullet"/>
        <w:spacing w:after="80"/>
      </w:pPr>
      <w:r>
        <w:rPr>
          <w:rFonts w:ascii="Calibri" w:hAnsi="Calibri"/>
          <w:sz w:val="22"/>
        </w:rPr>
        <w:t>The spread between best and worst is 38 points, so the choice of algorithm materially affects results on this dataset.</w:t>
      </w:r>
    </w:p>
    <w:p>
      <w:pPr>
        <w:pStyle w:val="ListBullet"/>
        <w:spacing w:after="80"/>
      </w:pPr>
      <w:r>
        <w:rPr>
          <w:rFonts w:ascii="Calibri" w:hAnsi="Calibri"/>
          <w:sz w:val="22"/>
        </w:rPr>
        <w:t>Lighting affects recognition noticeably; distance and standing position affect it far less.</w:t>
      </w:r>
    </w:p>
    <w:p>
      <w:pPr>
        <w:pStyle w:val="ListBullet"/>
        <w:spacing w:after="80"/>
      </w:pPr>
      <w:r>
        <w:rPr>
          <w:rFonts w:ascii="Calibri" w:hAnsi="Calibri"/>
          <w:sz w:val="22"/>
        </w:rPr>
        <w:t>Robustness to lighting does not follow overall accuracy: Random Forest keeps 77% when the lighting changes while Gradient Boosting, the most accurate model overall, keeps only 75%.</w:t>
      </w:r>
    </w:p>
    <w:p>
      <w:pPr>
        <w:pStyle w:val="ListBullet"/>
        <w:spacing w:after="80"/>
      </w:pPr>
      <w:r>
        <w:rPr>
          <w:rFonts w:ascii="Calibri" w:hAnsi="Calibri"/>
          <w:sz w:val="22"/>
        </w:rPr>
        <w:t>ជម្រាប់សួរ is the hardest sign and is the clearest target for more recordings.</w:t>
      </w:r>
    </w:p>
    <w:p>
      <w:pPr>
        <w:pStyle w:val="ListBullet"/>
        <w:spacing w:after="80"/>
      </w:pPr>
      <w:r>
        <w:rPr>
          <w:rFonts w:ascii="Calibri" w:hAnsi="Calibri"/>
          <w:sz w:val="22"/>
        </w:rPr>
        <w:t>Recordings come from 4 different people, and the test set mixes them, so these figures describe recognition for people the model has seen before. How well it works for a complete stranger is a separate question, answered by holding one person out entirely.</w:t>
      </w:r>
    </w:p>
    <w:p>
      <w:pPr>
        <w:pStyle w:val="Heading1"/>
      </w:pPr>
      <w:r>
        <w:t>6. Reproducing this</w:t>
      </w:r>
    </w:p>
    <w:p>
      <w:pPr>
        <w:spacing w:after="120"/>
      </w:pPr>
      <w:r>
        <w:rPr>
          <w:rFonts w:ascii="Calibri" w:hAnsi="Calibri"/>
          <w:b w:val="0"/>
          <w:i w:val="0"/>
          <w:color w:val="1F4E79"/>
          <w:sz w:val="20"/>
        </w:rPr>
        <w:t>python algo_comparison/run_var_experiment.py</w:t>
      </w:r>
    </w:p>
    <w:p>
      <w:pPr>
        <w:spacing w:after="120"/>
      </w:pPr>
      <w:r>
        <w:rPr>
          <w:rFonts w:ascii="Calibri" w:hAnsi="Calibri"/>
          <w:b w:val="0"/>
          <w:i/>
          <w:color w:val="595959"/>
          <w:sz w:val="18"/>
        </w:rPr>
        <w:t>Averages 8 take-aware random splits with fixed seeds; the output is identical on any machine.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