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853"/>
        <w:gridCol w:w="914"/>
        <w:gridCol w:w="1111"/>
        <w:gridCol w:w="1169"/>
        <w:gridCol w:w="695"/>
        <w:gridCol w:w="849"/>
        <w:gridCol w:w="849"/>
        <w:gridCol w:w="849"/>
      </w:tblGrid>
      <w:tr w:rsidR="00024309" w14:paraId="6B2E8C59" w14:textId="77777777" w:rsidTr="00024309">
        <w:tc>
          <w:tcPr>
            <w:tcW w:w="873"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7"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861"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919"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1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73"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629"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26E78058" w14:textId="77777777" w:rsidTr="00024309">
        <w:tc>
          <w:tcPr>
            <w:tcW w:w="873"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7"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861"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919"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1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73"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629"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2272261B" w14:textId="77777777" w:rsidTr="00024309">
        <w:tc>
          <w:tcPr>
            <w:tcW w:w="873"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7"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861"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919"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1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73"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629"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860"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3F36A58E" w14:textId="77777777" w:rsidTr="00024309">
        <w:tc>
          <w:tcPr>
            <w:tcW w:w="873"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7"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1"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919"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1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73"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629"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DF5AC8">
        <w:tc>
          <w:tcPr>
            <w:tcW w:w="873"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7"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1"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415"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DF5AC8">
        <w:tc>
          <w:tcPr>
            <w:tcW w:w="873"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7"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1"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415"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1CCB931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656C9" w14:paraId="022CDF19" w14:textId="77777777" w:rsidTr="00A656C9">
        <w:tc>
          <w:tcPr>
            <w:tcW w:w="901" w:type="dxa"/>
          </w:tcPr>
          <w:p w14:paraId="1B62DFC9" w14:textId="501DC1D8" w:rsidR="00A656C9"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901" w:type="dxa"/>
          </w:tcPr>
          <w:p w14:paraId="3B2FE53B"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1" w:type="dxa"/>
          </w:tcPr>
          <w:p w14:paraId="3779DFA7"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1" w:type="dxa"/>
          </w:tcPr>
          <w:p w14:paraId="5985CDA0"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7D2E69A8"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78985FDE"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08A2C203"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66F99207"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0F640571"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0B316CF0" w14:textId="77777777" w:rsidR="00A656C9" w:rsidRDefault="00A656C9" w:rsidP="00B846F4">
            <w:pPr>
              <w:tabs>
                <w:tab w:val="left" w:pos="828"/>
              </w:tabs>
              <w:spacing w:line="360" w:lineRule="auto"/>
              <w:jc w:val="both"/>
              <w:rPr>
                <w:rFonts w:ascii="Times New Roman" w:hAnsi="Times New Roman" w:cs="Times New Roman"/>
                <w:bCs/>
                <w:sz w:val="22"/>
                <w:szCs w:val="22"/>
              </w:rPr>
            </w:pPr>
          </w:p>
        </w:tc>
      </w:tr>
      <w:tr w:rsidR="00A656C9" w14:paraId="0F7E3E2F" w14:textId="77777777" w:rsidTr="00A656C9">
        <w:tc>
          <w:tcPr>
            <w:tcW w:w="901" w:type="dxa"/>
          </w:tcPr>
          <w:p w14:paraId="0E77867F"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1" w:type="dxa"/>
          </w:tcPr>
          <w:p w14:paraId="1A6F6366"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1" w:type="dxa"/>
          </w:tcPr>
          <w:p w14:paraId="3E44FF72"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1" w:type="dxa"/>
          </w:tcPr>
          <w:p w14:paraId="78088583"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79F6EF44"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11460D80"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47809C79"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2BFFB7E8"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0C3F12FB"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902" w:type="dxa"/>
          </w:tcPr>
          <w:p w14:paraId="6AC7D689" w14:textId="77777777" w:rsidR="00A656C9" w:rsidRDefault="00A656C9" w:rsidP="00B846F4">
            <w:pPr>
              <w:tabs>
                <w:tab w:val="left" w:pos="828"/>
              </w:tabs>
              <w:spacing w:line="360" w:lineRule="auto"/>
              <w:jc w:val="both"/>
              <w:rPr>
                <w:rFonts w:ascii="Times New Roman" w:hAnsi="Times New Roman" w:cs="Times New Roman"/>
                <w:bCs/>
                <w:sz w:val="22"/>
                <w:szCs w:val="22"/>
              </w:rPr>
            </w:pPr>
          </w:p>
        </w:tc>
      </w:tr>
      <w:tr w:rsidR="00A656C9" w14:paraId="11E7461E" w14:textId="77777777" w:rsidTr="003D36B3">
        <w:tc>
          <w:tcPr>
            <w:tcW w:w="901" w:type="dxa"/>
          </w:tcPr>
          <w:p w14:paraId="792440A7"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8115" w:type="dxa"/>
            <w:gridSpan w:val="9"/>
          </w:tcPr>
          <w:p w14:paraId="7426DC88" w14:textId="1D0C09F6" w:rsidR="00A656C9" w:rsidRDefault="00A656C9"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A656C9" w14:paraId="7BAA3FC5" w14:textId="77777777" w:rsidTr="00AE747A">
        <w:tc>
          <w:tcPr>
            <w:tcW w:w="901" w:type="dxa"/>
          </w:tcPr>
          <w:p w14:paraId="7079B859" w14:textId="77777777" w:rsidR="00A656C9" w:rsidRDefault="00A656C9" w:rsidP="00B846F4">
            <w:pPr>
              <w:tabs>
                <w:tab w:val="left" w:pos="828"/>
              </w:tabs>
              <w:spacing w:line="360" w:lineRule="auto"/>
              <w:jc w:val="both"/>
              <w:rPr>
                <w:rFonts w:ascii="Times New Roman" w:hAnsi="Times New Roman" w:cs="Times New Roman"/>
                <w:bCs/>
                <w:sz w:val="22"/>
                <w:szCs w:val="22"/>
              </w:rPr>
            </w:pPr>
          </w:p>
        </w:tc>
        <w:tc>
          <w:tcPr>
            <w:tcW w:w="8115" w:type="dxa"/>
            <w:gridSpan w:val="9"/>
          </w:tcPr>
          <w:p w14:paraId="45B99587" w14:textId="426902CD" w:rsidR="00A656C9" w:rsidRDefault="00A656C9"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48D60A15" w14:textId="77777777" w:rsidR="00A656C9" w:rsidRPr="0030101C" w:rsidRDefault="00A656C9" w:rsidP="00B846F4">
      <w:pPr>
        <w:tabs>
          <w:tab w:val="left" w:pos="828"/>
        </w:tabs>
        <w:spacing w:line="360" w:lineRule="auto"/>
        <w:jc w:val="both"/>
        <w:rPr>
          <w:rFonts w:ascii="Times New Roman" w:hAnsi="Times New Roman" w:cs="Times New Roman"/>
          <w:bCs/>
          <w:sz w:val="22"/>
          <w:szCs w:val="22"/>
        </w:rPr>
      </w:pPr>
    </w:p>
    <w:p w14:paraId="7C9176C9" w14:textId="05E869E0"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1259E0A6"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lastRenderedPageBreak/>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2BC64A91"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280A674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t>
      </w:r>
      <w:r w:rsidR="00CC5CF1" w:rsidRPr="0030101C">
        <w:rPr>
          <w:rFonts w:ascii="Times New Roman" w:eastAsia="Arial Unicode MS" w:hAnsi="Times New Roman" w:cs="Times New Roman"/>
          <w:bCs/>
          <w:sz w:val="22"/>
          <w:szCs w:val="22"/>
        </w:rPr>
        <w:lastRenderedPageBreak/>
        <w:t xml:space="preserve">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49D7DB4"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4F433EE0"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lastRenderedPageBreak/>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58812211"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5FE7EDA"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 xml:space="preserve">à la </w:t>
      </w:r>
      <w:r w:rsidR="00AD15B8" w:rsidRPr="0030101C">
        <w:rPr>
          <w:rFonts w:ascii="Times New Roman" w:eastAsia="Arial Unicode MS" w:hAnsi="Times New Roman" w:cs="Times New Roman"/>
          <w:bCs/>
          <w:sz w:val="22"/>
          <w:szCs w:val="22"/>
        </w:rPr>
        <w:lastRenderedPageBreak/>
        <w:t>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lastRenderedPageBreak/>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w:t>
      </w:r>
      <w:r w:rsidR="0006258E" w:rsidRPr="0030101C">
        <w:rPr>
          <w:rFonts w:ascii="Times New Roman" w:hAnsi="Times New Roman" w:cs="Times New Roman"/>
          <w:sz w:val="22"/>
          <w:szCs w:val="22"/>
        </w:rPr>
        <w:lastRenderedPageBreak/>
        <w:t xml:space="preserve">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lastRenderedPageBreak/>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5"/>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lastRenderedPageBreak/>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w:t>
      </w:r>
      <w:r w:rsidR="00893305" w:rsidRPr="0030101C">
        <w:rPr>
          <w:rFonts w:ascii="Times New Roman" w:hAnsi="Times New Roman" w:cs="Times New Roman"/>
          <w:sz w:val="22"/>
          <w:szCs w:val="22"/>
        </w:rPr>
        <w:lastRenderedPageBreak/>
        <w:t xml:space="preserve">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w:t>
      </w:r>
      <w:r w:rsidR="008E02F3" w:rsidRPr="0030101C">
        <w:rPr>
          <w:rFonts w:ascii="Times New Roman" w:hAnsi="Times New Roman" w:cs="Times New Roman"/>
          <w:sz w:val="22"/>
          <w:szCs w:val="22"/>
        </w:rPr>
        <w:lastRenderedPageBreak/>
        <w:t xml:space="preserve">§4.2-3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lastRenderedPageBreak/>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w:t>
      </w:r>
      <w:r w:rsidRPr="0030101C">
        <w:rPr>
          <w:rFonts w:ascii="Times New Roman" w:hAnsi="Times New Roman" w:cs="Times New Roman"/>
          <w:sz w:val="22"/>
          <w:szCs w:val="22"/>
        </w:rPr>
        <w:lastRenderedPageBreak/>
        <w:t xml:space="preserve">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21"/>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2"/>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82C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3"/>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AF47" w14:textId="77777777" w:rsidR="00A3675E" w:rsidRDefault="00A3675E" w:rsidP="008C23EA">
      <w:r>
        <w:separator/>
      </w:r>
    </w:p>
  </w:endnote>
  <w:endnote w:type="continuationSeparator" w:id="0">
    <w:p w14:paraId="55162BE3" w14:textId="77777777" w:rsidR="00A3675E" w:rsidRDefault="00A3675E" w:rsidP="008C23EA">
      <w:r>
        <w:continuationSeparator/>
      </w:r>
    </w:p>
  </w:endnote>
  <w:endnote w:type="continuationNotice" w:id="1">
    <w:p w14:paraId="2FF7F97E" w14:textId="77777777" w:rsidR="00A3675E" w:rsidRDefault="00A36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C453" w14:textId="77777777" w:rsidR="00A3675E" w:rsidRDefault="00A3675E" w:rsidP="008C23EA">
      <w:r>
        <w:separator/>
      </w:r>
    </w:p>
  </w:footnote>
  <w:footnote w:type="continuationSeparator" w:id="0">
    <w:p w14:paraId="4F6A5662" w14:textId="77777777" w:rsidR="00A3675E" w:rsidRDefault="00A3675E" w:rsidP="008C23EA">
      <w:r>
        <w:continuationSeparator/>
      </w:r>
    </w:p>
  </w:footnote>
  <w:footnote w:type="continuationNotice" w:id="1">
    <w:p w14:paraId="0FE8F1CE" w14:textId="77777777" w:rsidR="00A3675E" w:rsidRDefault="00A3675E"/>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7211C17"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w:t>
      </w:r>
      <w:r w:rsidR="00102116">
        <w:rPr>
          <w:rFonts w:ascii="Times New Roman" w:hAnsi="Times New Roman" w:cs="Times New Roman"/>
          <w:sz w:val="20"/>
          <w:szCs w:val="20"/>
          <w:lang w:val="en-GB"/>
        </w:rPr>
        <w:t>chapter</w:t>
      </w:r>
      <w:r w:rsidRPr="00DD43DD">
        <w:rPr>
          <w:rFonts w:ascii="Times New Roman" w:hAnsi="Times New Roman" w:cs="Times New Roman"/>
          <w:sz w:val="20"/>
          <w:szCs w:val="20"/>
          <w:lang w:val="en-GB"/>
        </w:rPr>
        <w:t>.</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2">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6">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2">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3">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75E"/>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FA1"/>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39</Pages>
  <Words>14199</Words>
  <Characters>80939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73</cp:revision>
  <dcterms:created xsi:type="dcterms:W3CDTF">2023-01-09T09:58:00Z</dcterms:created>
  <dcterms:modified xsi:type="dcterms:W3CDTF">2023-01-09T14:17:00Z</dcterms:modified>
</cp:coreProperties>
</file>