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79"/>
        <w:gridCol w:w="1072"/>
        <w:gridCol w:w="689"/>
        <w:gridCol w:w="590"/>
        <w:gridCol w:w="1049"/>
        <w:gridCol w:w="938"/>
        <w:gridCol w:w="1286"/>
        <w:gridCol w:w="913"/>
        <w:gridCol w:w="707"/>
        <w:gridCol w:w="993"/>
      </w:tblGrid>
      <w:tr w:rsidR="00976B23" w:rsidRPr="00976B23" w14:paraId="718A98C1" w14:textId="77777777" w:rsidTr="00976B23">
        <w:tc>
          <w:tcPr>
            <w:tcW w:w="78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92"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597"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901"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300"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13"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15"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976B23">
        <w:tc>
          <w:tcPr>
            <w:tcW w:w="78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97"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901"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300"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13"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15"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976B23">
        <w:tc>
          <w:tcPr>
            <w:tcW w:w="78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16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976B23" w:rsidRPr="00976B23" w14:paraId="457A7FAC" w14:textId="77777777" w:rsidTr="00976B23">
        <w:tc>
          <w:tcPr>
            <w:tcW w:w="784" w:type="dxa"/>
          </w:tcPr>
          <w:p w14:paraId="72973138"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2D481CB8"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42827D8F" w14:textId="141D30BF"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597" w:type="dxa"/>
          </w:tcPr>
          <w:p w14:paraId="2317B210" w14:textId="3EE3CFC0"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1049" w:type="dxa"/>
          </w:tcPr>
          <w:p w14:paraId="5F16E4DB" w14:textId="4B019F5C"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901" w:type="dxa"/>
          </w:tcPr>
          <w:p w14:paraId="0C56859F" w14:textId="184B6ECE"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1300" w:type="dxa"/>
          </w:tcPr>
          <w:p w14:paraId="6E50D2FD" w14:textId="49DF7604"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13" w:type="dxa"/>
          </w:tcPr>
          <w:p w14:paraId="2DBB36E3" w14:textId="37EF837B"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15" w:type="dxa"/>
          </w:tcPr>
          <w:p w14:paraId="0235696D" w14:textId="7A93C837"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561A2E99" w14:textId="139CB812"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r>
      <w:tr w:rsidR="00976B23" w:rsidRPr="00976B23" w14:paraId="616E6970" w14:textId="77777777" w:rsidTr="00976B23">
        <w:tc>
          <w:tcPr>
            <w:tcW w:w="784" w:type="dxa"/>
          </w:tcPr>
          <w:p w14:paraId="0780BD08"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74F4713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97" w:type="dxa"/>
          </w:tcPr>
          <w:p w14:paraId="60A8934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49" w:type="dxa"/>
          </w:tcPr>
          <w:p w14:paraId="3E265F69" w14:textId="3E13D2C7"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901" w:type="dxa"/>
          </w:tcPr>
          <w:p w14:paraId="61271277" w14:textId="198A042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1300" w:type="dxa"/>
          </w:tcPr>
          <w:p w14:paraId="32FC3879" w14:textId="5ECDCFD7"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13" w:type="dxa"/>
          </w:tcPr>
          <w:p w14:paraId="110F3A40" w14:textId="58BB407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15" w:type="dxa"/>
          </w:tcPr>
          <w:p w14:paraId="103A56E2" w14:textId="221FCE31"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2923E755" w14:textId="1EE7589E"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r>
      <w:tr w:rsidR="00976B23" w:rsidRPr="00976B23" w14:paraId="61D34A8B" w14:textId="77777777" w:rsidTr="00976B23">
        <w:tc>
          <w:tcPr>
            <w:tcW w:w="784" w:type="dxa"/>
          </w:tcPr>
          <w:p w14:paraId="63CFEB6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3A8739C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70C0027F" w14:textId="28B7DA97"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597" w:type="dxa"/>
          </w:tcPr>
          <w:p w14:paraId="112CAA5D"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49" w:type="dxa"/>
          </w:tcPr>
          <w:p w14:paraId="79907EBC" w14:textId="752C31FE"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01" w:type="dxa"/>
          </w:tcPr>
          <w:p w14:paraId="375AE10B" w14:textId="3C2E737C"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1300" w:type="dxa"/>
          </w:tcPr>
          <w:p w14:paraId="34782875" w14:textId="0CD4B25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913" w:type="dxa"/>
          </w:tcPr>
          <w:p w14:paraId="00B4D298" w14:textId="56CAE5A2"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15" w:type="dxa"/>
          </w:tcPr>
          <w:p w14:paraId="33FFCCA3" w14:textId="49159E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775A64A0" w14:textId="5D0526B6"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r>
      <w:tr w:rsidR="00976B23" w:rsidRPr="00976B23" w14:paraId="42298371" w14:textId="77777777" w:rsidTr="00976B23">
        <w:tc>
          <w:tcPr>
            <w:tcW w:w="784" w:type="dxa"/>
          </w:tcPr>
          <w:p w14:paraId="01DF94D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12972FD8"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97" w:type="dxa"/>
          </w:tcPr>
          <w:p w14:paraId="4D13207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49" w:type="dxa"/>
          </w:tcPr>
          <w:p w14:paraId="71D0B158" w14:textId="14ABE1C6"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01" w:type="dxa"/>
          </w:tcPr>
          <w:p w14:paraId="6E306770" w14:textId="246FAF77"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1300" w:type="dxa"/>
          </w:tcPr>
          <w:p w14:paraId="51FD383C" w14:textId="2A627963"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913" w:type="dxa"/>
          </w:tcPr>
          <w:p w14:paraId="7A633C12" w14:textId="1ED79F56"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15" w:type="dxa"/>
          </w:tcPr>
          <w:p w14:paraId="4C047C6B" w14:textId="51086DF3"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6325F4B4" w14:textId="7E9352F0"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r>
      <w:tr w:rsidR="00976B23" w:rsidRPr="00976B23" w14:paraId="72851A5F" w14:textId="77777777" w:rsidTr="00976B23">
        <w:tc>
          <w:tcPr>
            <w:tcW w:w="784" w:type="dxa"/>
          </w:tcPr>
          <w:p w14:paraId="4DA46F0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295AB8CE"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97" w:type="dxa"/>
          </w:tcPr>
          <w:p w14:paraId="1870840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871" w:type="dxa"/>
            <w:gridSpan w:val="6"/>
          </w:tcPr>
          <w:p w14:paraId="49919EC7" w14:textId="575D3448"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976B23" w:rsidRPr="00976B23" w14:paraId="47C0A177" w14:textId="77777777" w:rsidTr="00976B23">
        <w:tc>
          <w:tcPr>
            <w:tcW w:w="784" w:type="dxa"/>
          </w:tcPr>
          <w:p w14:paraId="40251170"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92" w:type="dxa"/>
          </w:tcPr>
          <w:p w14:paraId="447E60E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97" w:type="dxa"/>
          </w:tcPr>
          <w:p w14:paraId="3F576FD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5871" w:type="dxa"/>
            <w:gridSpan w:val="6"/>
          </w:tcPr>
          <w:p w14:paraId="4AAC1C25" w14:textId="03D47A69"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280A674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lastRenderedPageBreak/>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49D7DB4"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4F433EE0"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w:t>
      </w:r>
      <w:r w:rsidR="009F6091" w:rsidRPr="0030101C">
        <w:rPr>
          <w:rFonts w:ascii="Times New Roman" w:eastAsia="Arial Unicode MS" w:hAnsi="Times New Roman" w:cs="Times New Roman"/>
          <w:bCs/>
          <w:sz w:val="22"/>
          <w:szCs w:val="22"/>
        </w:rPr>
        <w:lastRenderedPageBreak/>
        <w:t xml:space="preserve">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58812211"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5FE7EDA"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 xml:space="preserve">no other northern Italian dialect has been claimed to have a restriction </w:t>
      </w:r>
      <w:r w:rsidR="00233912" w:rsidRPr="0030101C">
        <w:rPr>
          <w:rFonts w:ascii="Times New Roman" w:eastAsia="Arial Unicode MS" w:hAnsi="Times New Roman" w:cs="Times New Roman"/>
          <w:bCs/>
          <w:sz w:val="22"/>
          <w:szCs w:val="22"/>
        </w:rPr>
        <w:lastRenderedPageBreak/>
        <w:t>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adopt the classic parallelism between focus </w:t>
      </w:r>
      <w:r w:rsidR="003F73CF" w:rsidRPr="0030101C">
        <w:rPr>
          <w:rFonts w:ascii="Times New Roman" w:eastAsia="Arial Unicode MS" w:hAnsi="Times New Roman" w:cs="Times New Roman"/>
          <w:sz w:val="22"/>
          <w:szCs w:val="22"/>
        </w:rPr>
        <w:lastRenderedPageBreak/>
        <w:t>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5"/>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lastRenderedPageBreak/>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21"/>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2"/>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118AD"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3"/>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0F75" w14:textId="77777777" w:rsidR="00D43874" w:rsidRDefault="00D43874" w:rsidP="008C23EA">
      <w:r>
        <w:separator/>
      </w:r>
    </w:p>
  </w:endnote>
  <w:endnote w:type="continuationSeparator" w:id="0">
    <w:p w14:paraId="586BE337" w14:textId="77777777" w:rsidR="00D43874" w:rsidRDefault="00D43874" w:rsidP="008C23EA">
      <w:r>
        <w:continuationSeparator/>
      </w:r>
    </w:p>
  </w:endnote>
  <w:endnote w:type="continuationNotice" w:id="1">
    <w:p w14:paraId="02E25E99" w14:textId="77777777" w:rsidR="00D43874" w:rsidRDefault="00D43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68AB" w14:textId="77777777" w:rsidR="00D43874" w:rsidRDefault="00D43874" w:rsidP="008C23EA">
      <w:r>
        <w:separator/>
      </w:r>
    </w:p>
  </w:footnote>
  <w:footnote w:type="continuationSeparator" w:id="0">
    <w:p w14:paraId="24570D01" w14:textId="77777777" w:rsidR="00D43874" w:rsidRDefault="00D43874" w:rsidP="008C23EA">
      <w:r>
        <w:continuationSeparator/>
      </w:r>
    </w:p>
  </w:footnote>
  <w:footnote w:type="continuationNotice" w:id="1">
    <w:p w14:paraId="5B4D023F" w14:textId="77777777" w:rsidR="00D43874" w:rsidRDefault="00D43874"/>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7211C17"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w:t>
      </w:r>
      <w:r w:rsidR="00102116">
        <w:rPr>
          <w:rFonts w:ascii="Times New Roman" w:hAnsi="Times New Roman" w:cs="Times New Roman"/>
          <w:sz w:val="20"/>
          <w:szCs w:val="20"/>
          <w:lang w:val="en-GB"/>
        </w:rPr>
        <w:t>chapter</w:t>
      </w:r>
      <w:r w:rsidRPr="00DD43DD">
        <w:rPr>
          <w:rFonts w:ascii="Times New Roman" w:hAnsi="Times New Roman" w:cs="Times New Roman"/>
          <w:sz w:val="20"/>
          <w:szCs w:val="20"/>
          <w:lang w:val="en-GB"/>
        </w:rPr>
        <w:t>.</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2">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6">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2">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3">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2AB5"/>
    <w:rsid w:val="00D24D32"/>
    <w:rsid w:val="00D25E91"/>
    <w:rsid w:val="00D3253F"/>
    <w:rsid w:val="00D35311"/>
    <w:rsid w:val="00D353EB"/>
    <w:rsid w:val="00D3679E"/>
    <w:rsid w:val="00D36B6D"/>
    <w:rsid w:val="00D433A8"/>
    <w:rsid w:val="00D43874"/>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39</Pages>
  <Words>14181</Words>
  <Characters>80834</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77</cp:revision>
  <dcterms:created xsi:type="dcterms:W3CDTF">2023-01-09T09:58:00Z</dcterms:created>
  <dcterms:modified xsi:type="dcterms:W3CDTF">2023-01-10T09:43:00Z</dcterms:modified>
</cp:coreProperties>
</file>