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9F8F38C"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0A87CA08"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2D58943"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ED0CB68"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2BC64A91"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9"/>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10"/>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1"/>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2"/>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3"/>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4"/>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5"/>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6"/>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7"/>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8"/>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w:t>
      </w:r>
      <w:r w:rsidRPr="0030101C">
        <w:rPr>
          <w:rFonts w:ascii="Times New Roman" w:hAnsi="Times New Roman" w:cs="Times New Roman"/>
          <w:sz w:val="22"/>
          <w:szCs w:val="22"/>
          <w:lang w:val="en-US"/>
        </w:rPr>
        <w:lastRenderedPageBreak/>
        <w:t xml:space="preserve">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9"/>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 xml:space="preserve">-elements, the difference between Standard Italian and Eastern Trevisan is, in this </w:t>
      </w:r>
      <w:r w:rsidR="000516F8" w:rsidRPr="0030101C">
        <w:rPr>
          <w:rFonts w:ascii="Times New Roman" w:hAnsi="Times New Roman" w:cs="Times New Roman"/>
          <w:sz w:val="22"/>
          <w:szCs w:val="22"/>
        </w:rPr>
        <w:lastRenderedPageBreak/>
        <w:t>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Conversely, mirative foci alternate between the low and the high surface </w:t>
      </w:r>
      <w:r w:rsidRPr="0030101C">
        <w:rPr>
          <w:rFonts w:ascii="Times New Roman" w:hAnsi="Times New Roman" w:cs="Times New Roman"/>
          <w:sz w:val="22"/>
          <w:szCs w:val="22"/>
        </w:rPr>
        <w:lastRenderedPageBreak/>
        <w:t>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w:t>
      </w:r>
      <w:r w:rsidRPr="0030101C">
        <w:rPr>
          <w:rFonts w:ascii="Times New Roman" w:hAnsi="Times New Roman" w:cs="Times New Roman"/>
          <w:sz w:val="22"/>
          <w:szCs w:val="22"/>
        </w:rPr>
        <w:lastRenderedPageBreak/>
        <w:t xml:space="preserve">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20"/>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21"/>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2"/>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23"/>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4"/>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lastRenderedPageBreak/>
        <w:t>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5"/>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1EA1" w14:textId="77777777" w:rsidR="00754616" w:rsidRDefault="00754616" w:rsidP="008C23EA">
      <w:r>
        <w:separator/>
      </w:r>
    </w:p>
  </w:endnote>
  <w:endnote w:type="continuationSeparator" w:id="0">
    <w:p w14:paraId="6141D39F" w14:textId="77777777" w:rsidR="00754616" w:rsidRDefault="00754616" w:rsidP="008C23EA">
      <w:r>
        <w:continuationSeparator/>
      </w:r>
    </w:p>
  </w:endnote>
  <w:endnote w:type="continuationNotice" w:id="1">
    <w:p w14:paraId="50D30D7B" w14:textId="77777777" w:rsidR="00754616" w:rsidRDefault="00754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76C9" w14:textId="77777777" w:rsidR="00754616" w:rsidRDefault="00754616" w:rsidP="008C23EA">
      <w:r>
        <w:separator/>
      </w:r>
    </w:p>
  </w:footnote>
  <w:footnote w:type="continuationSeparator" w:id="0">
    <w:p w14:paraId="4554551B" w14:textId="77777777" w:rsidR="00754616" w:rsidRDefault="00754616" w:rsidP="008C23EA">
      <w:r>
        <w:continuationSeparator/>
      </w:r>
    </w:p>
  </w:footnote>
  <w:footnote w:type="continuationNotice" w:id="1">
    <w:p w14:paraId="0D925340" w14:textId="77777777" w:rsidR="00754616" w:rsidRDefault="00754616"/>
  </w:footnote>
  <w:footnote w:id="2">
    <w:p w14:paraId="1308472F" w14:textId="2A4CCB4E"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w:t>
      </w:r>
      <w:r w:rsidR="00397C1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r w:rsidR="00397C11">
        <w:rPr>
          <w:rFonts w:ascii="Times New Roman" w:hAnsi="Times New Roman" w:cs="Times New Roman"/>
          <w:sz w:val="20"/>
          <w:szCs w:val="20"/>
          <w:lang w:val="en-GB"/>
        </w:rPr>
        <w:t xml:space="preserve"> I also wish to thank two helpful anonymous reviewers.</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10">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1">
    <w:p w14:paraId="62CB1A5C" w14:textId="47211C17"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w:t>
      </w:r>
      <w:r w:rsidR="00102116">
        <w:rPr>
          <w:rFonts w:ascii="Times New Roman" w:hAnsi="Times New Roman" w:cs="Times New Roman"/>
          <w:sz w:val="20"/>
          <w:szCs w:val="20"/>
          <w:lang w:val="en-GB"/>
        </w:rPr>
        <w:t>chapter</w:t>
      </w:r>
      <w:r w:rsidRPr="00DD43DD">
        <w:rPr>
          <w:rFonts w:ascii="Times New Roman" w:hAnsi="Times New Roman" w:cs="Times New Roman"/>
          <w:sz w:val="20"/>
          <w:szCs w:val="20"/>
          <w:lang w:val="en-GB"/>
        </w:rPr>
        <w:t>.</w:t>
      </w:r>
    </w:p>
  </w:footnote>
  <w:footnote w:id="12">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3">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4">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5">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6">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7">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8">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9">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20">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21">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22">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3">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4">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5">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14B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4616"/>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FA1"/>
    <w:rsid w:val="00D22AB5"/>
    <w:rsid w:val="00D24D32"/>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39</Pages>
  <Words>14181</Words>
  <Characters>80835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41</cp:revision>
  <dcterms:created xsi:type="dcterms:W3CDTF">2023-01-09T09:58:00Z</dcterms:created>
  <dcterms:modified xsi:type="dcterms:W3CDTF">2023-01-09T11:59:00Z</dcterms:modified>
</cp:coreProperties>
</file>