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w:t>
      </w:r>
      <w:r w:rsidRPr="0030101C">
        <w:rPr>
          <w:rFonts w:ascii="Times New Roman" w:eastAsia="Arial Unicode MS" w:hAnsi="Times New Roman" w:cs="Times New Roman"/>
          <w:sz w:val="22"/>
          <w:szCs w:val="22"/>
        </w:rPr>
        <w:lastRenderedPageBreak/>
        <w:t xml:space="preserve">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08896031"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his article</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will </w:t>
      </w:r>
      <w:r w:rsidRPr="0030101C">
        <w:rPr>
          <w:rFonts w:ascii="Times New Roman" w:hAnsi="Times New Roman" w:cs="Times New Roman"/>
          <w:bCs/>
          <w:sz w:val="22"/>
          <w:szCs w:val="22"/>
        </w:rPr>
        <w:t xml:space="preserve">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3ED0CB68"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9"/>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10"/>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1"/>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2"/>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3"/>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4"/>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5"/>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6"/>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7"/>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8"/>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9"/>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w:t>
      </w:r>
      <w:r w:rsidR="00876028" w:rsidRPr="0030101C">
        <w:rPr>
          <w:rFonts w:ascii="Times New Roman" w:hAnsi="Times New Roman" w:cs="Times New Roman"/>
          <w:sz w:val="22"/>
          <w:szCs w:val="22"/>
        </w:rPr>
        <w:lastRenderedPageBreak/>
        <w:t xml:space="preserve">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20"/>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1"/>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2"/>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3"/>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lastRenderedPageBreak/>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lastRenderedPageBreak/>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lastRenderedPageBreak/>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D4D8" w14:textId="77777777" w:rsidR="00675831" w:rsidRDefault="00675831" w:rsidP="008C23EA">
      <w:r>
        <w:separator/>
      </w:r>
    </w:p>
  </w:endnote>
  <w:endnote w:type="continuationSeparator" w:id="0">
    <w:p w14:paraId="0A41393C" w14:textId="77777777" w:rsidR="00675831" w:rsidRDefault="00675831" w:rsidP="008C23EA">
      <w:r>
        <w:continuationSeparator/>
      </w:r>
    </w:p>
  </w:endnote>
  <w:endnote w:type="continuationNotice" w:id="1">
    <w:p w14:paraId="6344B739" w14:textId="77777777" w:rsidR="00675831" w:rsidRDefault="00675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269EC" w14:textId="77777777" w:rsidR="00675831" w:rsidRDefault="00675831" w:rsidP="008C23EA">
      <w:r>
        <w:separator/>
      </w:r>
    </w:p>
  </w:footnote>
  <w:footnote w:type="continuationSeparator" w:id="0">
    <w:p w14:paraId="4947BC39" w14:textId="77777777" w:rsidR="00675831" w:rsidRDefault="00675831" w:rsidP="008C23EA">
      <w:r>
        <w:continuationSeparator/>
      </w:r>
    </w:p>
  </w:footnote>
  <w:footnote w:type="continuationNotice" w:id="1">
    <w:p w14:paraId="631CCE2D" w14:textId="77777777" w:rsidR="00675831" w:rsidRDefault="00675831"/>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xml:space="preserve">, as in </w:t>
      </w:r>
      <w:proofErr w:type="gramStart"/>
      <w:r>
        <w:rPr>
          <w:rFonts w:ascii="Times New Roman" w:hAnsi="Times New Roman" w:cs="Times New Roman"/>
          <w:sz w:val="20"/>
          <w:szCs w:val="20"/>
        </w:rPr>
        <w:t>this constructions</w:t>
      </w:r>
      <w:proofErr w:type="gramEnd"/>
      <w:r>
        <w:rPr>
          <w:rFonts w:ascii="Times New Roman" w:hAnsi="Times New Roman" w:cs="Times New Roman"/>
          <w:sz w:val="20"/>
          <w:szCs w:val="20"/>
        </w:rPr>
        <w:t xml:space="preserve">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10">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1">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2">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3">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4">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5">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6">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7">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8">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9">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20">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21">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2">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3">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583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2D7B"/>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39</Pages>
  <Words>14236</Words>
  <Characters>81147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24</cp:revision>
  <dcterms:created xsi:type="dcterms:W3CDTF">2023-01-09T09:58:00Z</dcterms:created>
  <dcterms:modified xsi:type="dcterms:W3CDTF">2023-01-09T11:37:00Z</dcterms:modified>
</cp:coreProperties>
</file>