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6D43244D" w14:textId="43ECF2BD" w:rsidR="00DA781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DA7813">
        <w:rPr>
          <w:color w:val="0070C0"/>
        </w:rPr>
        <w:t xml:space="preserve"> to select</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w:t>
      </w:r>
      <w:r w:rsidR="00DA7813">
        <w:rPr>
          <w:color w:val="0070C0"/>
        </w:rPr>
        <w:t>Each task aimed at determining that the structures studied in Part II were indeed present in the grammar of oui informants (e.g., to make sure that they accept the use of cleft questions before we determine whether the way they answer cleft vs non-cleft questions varies).</w:t>
      </w:r>
    </w:p>
    <w:p w14:paraId="5997E748" w14:textId="6546EEC7" w:rsidR="00AE538A" w:rsidRPr="001950C3" w:rsidRDefault="00554BB7" w:rsidP="00DA7813">
      <w:pPr>
        <w:spacing w:line="276" w:lineRule="auto"/>
        <w:ind w:firstLine="720"/>
        <w:jc w:val="both"/>
        <w:rPr>
          <w:color w:val="0070C0"/>
        </w:rPr>
      </w:pPr>
      <w:r>
        <w:rPr>
          <w:color w:val="0070C0"/>
        </w:rPr>
        <w:t>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212D0AA1"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w:t>
      </w:r>
      <w:r w:rsidR="005B3B49">
        <w:rPr>
          <w:color w:val="0070C0"/>
        </w:rPr>
        <w:lastRenderedPageBreak/>
        <w:t xml:space="preserve">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r w:rsidR="00DA7813">
        <w:rPr>
          <w:color w:val="0070C0"/>
        </w:rPr>
        <w:t xml:space="preserve"> The principal aim of this task was to determine whether all our speakers accepted cleft questions, in preparation to the first task of Part II, in which we will determine whether different types of questions (cleft vs non-cleft) trigger different orderings. To perform such a task without making sure that clefts are productive in the grammar of all speakers could indeed lead to biased results.</w:t>
      </w:r>
    </w:p>
    <w:p w14:paraId="62708D58" w14:textId="254B72F9" w:rsidR="00103076" w:rsidRDefault="00EA2B35" w:rsidP="009B01CA">
      <w:pPr>
        <w:spacing w:line="276" w:lineRule="auto"/>
        <w:ind w:firstLine="720"/>
        <w:jc w:val="both"/>
        <w:rPr>
          <w:color w:val="0070C0"/>
        </w:rPr>
      </w:pPr>
      <w:r>
        <w:rPr>
          <w:color w:val="0070C0"/>
        </w:rPr>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61E26A20" w14:textId="77777777" w:rsidR="00160CC9" w:rsidRDefault="00160CC9" w:rsidP="005B3415">
      <w:pPr>
        <w:spacing w:line="276" w:lineRule="auto"/>
        <w:jc w:val="both"/>
        <w:rPr>
          <w:color w:val="0070C0"/>
        </w:rPr>
      </w:pPr>
    </w:p>
    <w:p w14:paraId="228BB99A" w14:textId="5172E54C" w:rsidR="0036679C" w:rsidRDefault="00160CC9" w:rsidP="005B3415">
      <w:pPr>
        <w:spacing w:line="276" w:lineRule="auto"/>
        <w:jc w:val="both"/>
        <w:rPr>
          <w:color w:val="0070C0"/>
        </w:rPr>
      </w:pPr>
      <w:r>
        <w:rPr>
          <w:color w:val="0070C0"/>
        </w:rPr>
        <w:t>We will therefore be able to discuss and interpret the results of the first task of Part II without worrying that the forced choice of a cleft questions to answer to is not problematic for any of our speakers.</w:t>
      </w:r>
    </w:p>
    <w:p w14:paraId="6CD7471C" w14:textId="77777777" w:rsidR="00160CC9" w:rsidRDefault="00160CC9"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lastRenderedPageBreak/>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79858E6E">
            <wp:extent cx="4776304"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776304"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74A8CD0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 xml:space="preserve">shifting should not be present </w:t>
      </w:r>
      <w:r w:rsidR="001857F0" w:rsidRPr="001857F0">
        <w:rPr>
          <w:color w:val="70AD47" w:themeColor="accent6"/>
        </w:rPr>
        <w:lastRenderedPageBreak/>
        <w:t>here unless a speaker deliberately chooses to focus on one constituent over the others.</w:t>
      </w:r>
      <w:r w:rsidR="00266403">
        <w:rPr>
          <w:color w:val="70AD47" w:themeColor="accent6"/>
        </w:rPr>
        <w:t xml:space="preserve"> We therefore decided to propose this task to our informants to evaluate whether marked orderings are found, for certain speakers, also in contexts in which only the unmarked order would normally be expected.</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2A08FD30" w14:textId="5BBCECCC" w:rsidR="0083299C" w:rsidRDefault="0083299C" w:rsidP="00420441">
      <w:pPr>
        <w:spacing w:line="276" w:lineRule="auto"/>
        <w:jc w:val="both"/>
        <w:rPr>
          <w:color w:val="70AD47" w:themeColor="accent6"/>
        </w:rPr>
      </w:pPr>
      <w:r>
        <w:rPr>
          <w:color w:val="70AD47" w:themeColor="accent6"/>
        </w:rPr>
        <w:t xml:space="preserve">The data gathered from this task showed such an intimate link between our macro- and micro-queries that I shall discuss them together here. </w:t>
      </w:r>
      <w:r w:rsidR="00474043">
        <w:rPr>
          <w:color w:val="70AD47" w:themeColor="accent6"/>
        </w:rPr>
        <w:t xml:space="preserve">Overall, the data confirmed that the base ordering of constituents is the preferred one in </w:t>
      </w:r>
      <w:r w:rsidR="00474043" w:rsidRPr="00474043">
        <w:rPr>
          <w:i/>
          <w:iCs/>
          <w:color w:val="70AD47" w:themeColor="accent6"/>
        </w:rPr>
        <w:t>out-of-the-blue</w:t>
      </w:r>
      <w:r w:rsidR="00474043">
        <w:rPr>
          <w:color w:val="70AD47" w:themeColor="accent6"/>
        </w:rPr>
        <w:t xml:space="preserve"> contexts, with the only exception of </w:t>
      </w:r>
      <w:proofErr w:type="spellStart"/>
      <w:r w:rsidR="00474043">
        <w:rPr>
          <w:color w:val="70AD47" w:themeColor="accent6"/>
        </w:rPr>
        <w:t>unaccusative</w:t>
      </w:r>
      <w:proofErr w:type="spellEnd"/>
      <w:r w:rsidR="00474043">
        <w:rPr>
          <w:color w:val="70AD47" w:themeColor="accent6"/>
        </w:rPr>
        <w:t xml:space="preserve"> verbs which I discuss below.</w:t>
      </w:r>
    </w:p>
    <w:p w14:paraId="60A1BF14" w14:textId="3932A8F6" w:rsidR="00103AB5" w:rsidRDefault="007A1BD3" w:rsidP="0083299C">
      <w:pPr>
        <w:spacing w:line="276" w:lineRule="auto"/>
        <w:ind w:firstLine="720"/>
        <w:jc w:val="both"/>
        <w:rPr>
          <w:color w:val="70AD47" w:themeColor="accent6"/>
        </w:rPr>
      </w:pPr>
      <w:r>
        <w:rPr>
          <w:color w:val="70AD47" w:themeColor="accent6"/>
        </w:rPr>
        <w:t>When it comes to subject placement, t</w:t>
      </w:r>
      <w:r w:rsidR="001857F0" w:rsidRPr="001857F0">
        <w:rPr>
          <w:color w:val="70AD47" w:themeColor="accent6"/>
        </w:rPr>
        <w:t>he informants</w:t>
      </w:r>
      <w:r w:rsidR="001857F0">
        <w:rPr>
          <w:color w:val="70AD47" w:themeColor="accent6"/>
        </w:rPr>
        <w:t xml:space="preserve"> showed a sheer preference for SV orderings with unergative verbs, with only 1/64 of total occurrences being VS.</w:t>
      </w:r>
      <w:r w:rsidR="000202C8">
        <w:rPr>
          <w:color w:val="70AD47" w:themeColor="accent6"/>
        </w:rPr>
        <w:t xml:space="preserve"> Conversely, </w:t>
      </w:r>
      <w:proofErr w:type="spellStart"/>
      <w:r w:rsidR="000202C8">
        <w:rPr>
          <w:color w:val="70AD47" w:themeColor="accent6"/>
        </w:rPr>
        <w:t>unaccusative</w:t>
      </w:r>
      <w:proofErr w:type="spellEnd"/>
      <w:r w:rsidR="000202C8">
        <w:rPr>
          <w:color w:val="70AD47" w:themeColor="accent6"/>
        </w:rPr>
        <w:t xml:space="preserve"> verbs</w:t>
      </w:r>
      <w:r>
        <w:rPr>
          <w:color w:val="70AD47" w:themeColor="accent6"/>
        </w:rPr>
        <w:t xml:space="preserve"> </w:t>
      </w:r>
      <w:r w:rsidR="000202C8">
        <w:rPr>
          <w:color w:val="70AD47" w:themeColor="accent6"/>
        </w:rPr>
        <w:t xml:space="preserve">showed a preference for SV only in 58% of cases. </w:t>
      </w:r>
      <w:r w:rsidR="00103AB5">
        <w:rPr>
          <w:color w:val="70AD47" w:themeColor="accent6"/>
        </w:rPr>
        <w:t>In Table 5 offers a quick visualisation of these data:</w:t>
      </w:r>
    </w:p>
    <w:p w14:paraId="6788A62E" w14:textId="77777777" w:rsidR="000304E1" w:rsidRDefault="000304E1" w:rsidP="0083299C">
      <w:pPr>
        <w:spacing w:line="276" w:lineRule="auto"/>
        <w:ind w:firstLine="720"/>
        <w:jc w:val="both"/>
        <w:rPr>
          <w:color w:val="70AD47" w:themeColor="accent6"/>
        </w:rPr>
      </w:pPr>
    </w:p>
    <w:p w14:paraId="1033F3E1" w14:textId="005C1120" w:rsidR="00103AB5" w:rsidRDefault="00103AB5" w:rsidP="00103AB5">
      <w:pPr>
        <w:spacing w:line="276" w:lineRule="auto"/>
        <w:jc w:val="both"/>
        <w:rPr>
          <w:color w:val="70AD47" w:themeColor="accent6"/>
        </w:rPr>
      </w:pPr>
      <w:r>
        <w:rPr>
          <w:noProof/>
          <w:color w:val="70AD47" w:themeColor="accent6"/>
        </w:rPr>
        <w:drawing>
          <wp:inline distT="0" distB="0" distL="0" distR="0" wp14:anchorId="5FE02871" wp14:editId="132327CC">
            <wp:extent cx="2260816" cy="1317171"/>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05179" cy="1343018"/>
                    </a:xfrm>
                    <a:prstGeom prst="rect">
                      <a:avLst/>
                    </a:prstGeom>
                  </pic:spPr>
                </pic:pic>
              </a:graphicData>
            </a:graphic>
          </wp:inline>
        </w:drawing>
      </w:r>
    </w:p>
    <w:p w14:paraId="6709A701" w14:textId="77777777" w:rsidR="000304E1" w:rsidRDefault="000304E1" w:rsidP="00103AB5">
      <w:pPr>
        <w:spacing w:line="276" w:lineRule="auto"/>
        <w:jc w:val="both"/>
        <w:rPr>
          <w:color w:val="70AD47" w:themeColor="accent6"/>
        </w:rPr>
      </w:pPr>
    </w:p>
    <w:p w14:paraId="08F67E65" w14:textId="57F02CBB" w:rsidR="001857F0" w:rsidRDefault="000202C8" w:rsidP="00103AB5">
      <w:pPr>
        <w:spacing w:line="276" w:lineRule="auto"/>
        <w:jc w:val="both"/>
        <w:rPr>
          <w:color w:val="70AD47" w:themeColor="accent6"/>
        </w:rPr>
      </w:pPr>
      <w:r>
        <w:rPr>
          <w:color w:val="70AD47" w:themeColor="accent6"/>
        </w:rPr>
        <w:t xml:space="preserve">Given the argument structure of </w:t>
      </w:r>
      <w:proofErr w:type="spellStart"/>
      <w:r>
        <w:rPr>
          <w:color w:val="70AD47" w:themeColor="accent6"/>
        </w:rPr>
        <w:t>unaccusatives</w:t>
      </w:r>
      <w:proofErr w:type="spellEnd"/>
      <w:r>
        <w:rPr>
          <w:color w:val="70AD47" w:themeColor="accent6"/>
        </w:rPr>
        <w:t xml:space="preserve">, whose subject is widely acknowledged to start out as an internal argument (i.e., in the structural position normally occupied by direct objects, </w:t>
      </w:r>
      <w:proofErr w:type="spellStart"/>
      <w:r>
        <w:rPr>
          <w:color w:val="70AD47" w:themeColor="accent6"/>
        </w:rPr>
        <w:t>Burzio</w:t>
      </w:r>
      <w:proofErr w:type="spellEnd"/>
      <w:r>
        <w:rPr>
          <w:color w:val="70AD47" w:themeColor="accent6"/>
        </w:rPr>
        <w:t xml:space="preserve"> 1986), it is unsurprising that some speakers chose the VS ordering here.</w:t>
      </w:r>
      <w:r w:rsidR="00490DE0">
        <w:rPr>
          <w:color w:val="70AD47" w:themeColor="accent6"/>
        </w:rPr>
        <w:t xml:space="preserve"> This suggests that it is possible for a portion of the population to delay subject-movement into the high IP until LF.</w:t>
      </w:r>
      <w:r>
        <w:rPr>
          <w:color w:val="70AD47" w:themeColor="accent6"/>
        </w:rPr>
        <w:t xml:space="preserve"> </w:t>
      </w:r>
      <w:r w:rsidR="000D66CF">
        <w:rPr>
          <w:color w:val="70AD47" w:themeColor="accent6"/>
        </w:rPr>
        <w:t>No geographic effect could be detected</w:t>
      </w:r>
      <w:r w:rsidR="00490DE0">
        <w:rPr>
          <w:color w:val="70AD47" w:themeColor="accent6"/>
        </w:rPr>
        <w:t xml:space="preserve"> in the choice between SV and VS</w:t>
      </w:r>
      <w:r w:rsidR="000D66CF">
        <w:rPr>
          <w:color w:val="70AD47" w:themeColor="accent6"/>
        </w:rPr>
        <w:t xml:space="preserve"> and, g</w:t>
      </w:r>
      <w:r w:rsidR="00A165B1">
        <w:rPr>
          <w:color w:val="70AD47" w:themeColor="accent6"/>
        </w:rPr>
        <w:t xml:space="preserve">iven that there are no nominal constituents </w:t>
      </w:r>
      <w:r>
        <w:rPr>
          <w:color w:val="70AD47" w:themeColor="accent6"/>
        </w:rPr>
        <w:t xml:space="preserve">other than the subject </w:t>
      </w:r>
      <w:r w:rsidR="00A165B1">
        <w:rPr>
          <w:color w:val="70AD47" w:themeColor="accent6"/>
        </w:rPr>
        <w:t xml:space="preserve">in the sentences under investigation, </w:t>
      </w:r>
      <w:r>
        <w:rPr>
          <w:color w:val="70AD47" w:themeColor="accent6"/>
        </w:rPr>
        <w:t xml:space="preserve">feature </w:t>
      </w:r>
      <w:r w:rsidR="00A165B1">
        <w:rPr>
          <w:color w:val="70AD47" w:themeColor="accent6"/>
        </w:rPr>
        <w:t xml:space="preserve">relativized minimality </w:t>
      </w:r>
      <w:r w:rsidR="00490DE0">
        <w:rPr>
          <w:color w:val="70AD47" w:themeColor="accent6"/>
        </w:rPr>
        <w:t xml:space="preserve">effects </w:t>
      </w:r>
      <w:r>
        <w:rPr>
          <w:color w:val="70AD47" w:themeColor="accent6"/>
        </w:rPr>
        <w:t xml:space="preserve">(Rizzi 2016, </w:t>
      </w:r>
      <w:proofErr w:type="spellStart"/>
      <w:r>
        <w:rPr>
          <w:color w:val="70AD47" w:themeColor="accent6"/>
        </w:rPr>
        <w:t>Villata</w:t>
      </w:r>
      <w:proofErr w:type="spellEnd"/>
      <w:r>
        <w:rPr>
          <w:color w:val="70AD47" w:themeColor="accent6"/>
        </w:rPr>
        <w:t xml:space="preserve"> et al. XXXX)</w:t>
      </w:r>
      <w:r w:rsidR="00A165B1">
        <w:rPr>
          <w:color w:val="70AD47" w:themeColor="accent6"/>
        </w:rPr>
        <w:t xml:space="preserve"> caused by animacy </w:t>
      </w:r>
      <w:r w:rsidR="000D66CF">
        <w:rPr>
          <w:color w:val="70AD47" w:themeColor="accent6"/>
        </w:rPr>
        <w:t>were</w:t>
      </w:r>
      <w:r w:rsidR="00A165B1">
        <w:rPr>
          <w:color w:val="70AD47" w:themeColor="accent6"/>
        </w:rPr>
        <w:t xml:space="preserve"> not expected</w:t>
      </w:r>
      <w:r w:rsidR="000D66CF">
        <w:rPr>
          <w:color w:val="70AD47" w:themeColor="accent6"/>
        </w:rPr>
        <w:t xml:space="preserve"> either</w:t>
      </w:r>
      <w:r w:rsidR="00A165B1">
        <w:rPr>
          <w:color w:val="70AD47" w:themeColor="accent6"/>
        </w:rPr>
        <w:t xml:space="preserve">, as confirmed by </w:t>
      </w:r>
      <w:r>
        <w:rPr>
          <w:color w:val="70AD47" w:themeColor="accent6"/>
        </w:rPr>
        <w:t>our</w:t>
      </w:r>
      <w:r w:rsidR="00A165B1">
        <w:rPr>
          <w:color w:val="70AD47" w:themeColor="accent6"/>
        </w:rPr>
        <w:t xml:space="preserve"> data.</w:t>
      </w:r>
    </w:p>
    <w:p w14:paraId="6115DC02" w14:textId="794F2B82" w:rsidR="005B7AE1" w:rsidRDefault="005B7AE1" w:rsidP="00103AB5">
      <w:pPr>
        <w:spacing w:line="276" w:lineRule="auto"/>
        <w:jc w:val="both"/>
        <w:rPr>
          <w:color w:val="70AD47" w:themeColor="accent6"/>
        </w:rPr>
      </w:pPr>
      <w:r>
        <w:rPr>
          <w:color w:val="70AD47" w:themeColor="accent6"/>
        </w:rPr>
        <w:lastRenderedPageBreak/>
        <w:tab/>
      </w:r>
      <w:r w:rsidR="000304E1">
        <w:rPr>
          <w:color w:val="70AD47" w:themeColor="accent6"/>
        </w:rPr>
        <w:t xml:space="preserve">The direct object data registered a preference for the base ordering V&gt;DO for both transitive and ditransitive verbs – only 5% of all occurrences featured leftward shifting of the DO. Interestingly, all speakers who chose </w:t>
      </w:r>
      <w:r w:rsidR="00F94B42">
        <w:rPr>
          <w:color w:val="70AD47" w:themeColor="accent6"/>
        </w:rPr>
        <w:t xml:space="preserve">instances with a shifted DO </w:t>
      </w:r>
      <w:r w:rsidR="000304E1">
        <w:rPr>
          <w:color w:val="70AD47" w:themeColor="accent6"/>
        </w:rPr>
        <w:t xml:space="preserve">are from South Romance areas. </w:t>
      </w:r>
      <w:r w:rsidR="009C7C09">
        <w:rPr>
          <w:color w:val="70AD47" w:themeColor="accent6"/>
        </w:rPr>
        <w:t xml:space="preserve">The situation is different with indirect objects, which were fronted in 30% of a total of 64 </w:t>
      </w:r>
      <w:r w:rsidR="00F94B42">
        <w:rPr>
          <w:color w:val="70AD47" w:themeColor="accent6"/>
        </w:rPr>
        <w:t xml:space="preserve">chosen </w:t>
      </w:r>
      <w:r w:rsidR="009C7C09">
        <w:rPr>
          <w:color w:val="70AD47" w:themeColor="accent6"/>
        </w:rPr>
        <w:t>constructions with transitive verbs</w:t>
      </w:r>
      <w:r w:rsidR="00696058">
        <w:rPr>
          <w:color w:val="70AD47" w:themeColor="accent6"/>
        </w:rPr>
        <w:t>, 8 of which from Western Romance speakers</w:t>
      </w:r>
      <w:r w:rsidR="009C7C09">
        <w:rPr>
          <w:color w:val="70AD47" w:themeColor="accent6"/>
        </w:rPr>
        <w:t>.</w:t>
      </w:r>
      <w:r w:rsidR="00696058">
        <w:rPr>
          <w:color w:val="70AD47" w:themeColor="accent6"/>
        </w:rPr>
        <w:t xml:space="preserve"> Shifting of indirect objects is more limited but still present with ditransitive verbs (possibly for relativized minimality reasons), with 6% of total occurrences being high shifts of the IO&gt;V&gt;DO type, and 9% low V&gt;IO&gt;DO </w:t>
      </w:r>
      <w:proofErr w:type="spellStart"/>
      <w:r w:rsidR="00696058">
        <w:rPr>
          <w:color w:val="70AD47" w:themeColor="accent6"/>
        </w:rPr>
        <w:t>shiftings</w:t>
      </w:r>
      <w:proofErr w:type="spellEnd"/>
      <w:r w:rsidR="00696058">
        <w:rPr>
          <w:color w:val="70AD47" w:themeColor="accent6"/>
        </w:rPr>
        <w:t xml:space="preserve">. While the former </w:t>
      </w:r>
      <w:proofErr w:type="gramStart"/>
      <w:r w:rsidR="00696058">
        <w:rPr>
          <w:color w:val="70AD47" w:themeColor="accent6"/>
        </w:rPr>
        <w:t>were</w:t>
      </w:r>
      <w:proofErr w:type="gramEnd"/>
      <w:r w:rsidR="00696058">
        <w:rPr>
          <w:color w:val="70AD47" w:themeColor="accent6"/>
        </w:rPr>
        <w:t xml:space="preserve"> predominantly chosen by South Romance speakers, low </w:t>
      </w:r>
      <w:proofErr w:type="spellStart"/>
      <w:r w:rsidR="00696058">
        <w:rPr>
          <w:color w:val="70AD47" w:themeColor="accent6"/>
        </w:rPr>
        <w:t>shiftings</w:t>
      </w:r>
      <w:proofErr w:type="spellEnd"/>
      <w:r w:rsidR="00696058">
        <w:rPr>
          <w:color w:val="70AD47" w:themeColor="accent6"/>
        </w:rPr>
        <w:t xml:space="preserve"> were equally distributed between South and Western Romance.</w:t>
      </w:r>
      <w:r w:rsidR="00913ED6">
        <w:rPr>
          <w:color w:val="70AD47" w:themeColor="accent6"/>
        </w:rPr>
        <w:t xml:space="preserve"> These </w:t>
      </w:r>
      <w:proofErr w:type="spellStart"/>
      <w:r w:rsidR="00913ED6">
        <w:rPr>
          <w:color w:val="70AD47" w:themeColor="accent6"/>
        </w:rPr>
        <w:t>shiftings</w:t>
      </w:r>
      <w:proofErr w:type="spellEnd"/>
      <w:r w:rsidR="00913ED6">
        <w:rPr>
          <w:color w:val="70AD47" w:themeColor="accent6"/>
        </w:rPr>
        <w:t xml:space="preserve"> are not necessarily focal and can likely be attributed to the internal structure of the </w:t>
      </w:r>
      <w:proofErr w:type="spellStart"/>
      <w:r w:rsidR="00913ED6" w:rsidRPr="00913ED6">
        <w:rPr>
          <w:i/>
          <w:iCs/>
          <w:color w:val="70AD47" w:themeColor="accent6"/>
        </w:rPr>
        <w:t>v</w:t>
      </w:r>
      <w:r w:rsidR="00913ED6">
        <w:rPr>
          <w:color w:val="70AD47" w:themeColor="accent6"/>
        </w:rPr>
        <w:t>P</w:t>
      </w:r>
      <w:proofErr w:type="spellEnd"/>
      <w:r w:rsidR="00913ED6">
        <w:rPr>
          <w:color w:val="70AD47" w:themeColor="accent6"/>
        </w:rPr>
        <w:t>-shell and to alternation</w:t>
      </w:r>
      <w:r w:rsidR="00F94B42">
        <w:rPr>
          <w:color w:val="70AD47" w:themeColor="accent6"/>
        </w:rPr>
        <w:t>s</w:t>
      </w:r>
      <w:r w:rsidR="00913ED6">
        <w:rPr>
          <w:color w:val="70AD47" w:themeColor="accent6"/>
        </w:rPr>
        <w:t xml:space="preserve"> in the </w:t>
      </w:r>
      <w:r w:rsidR="00F94B42">
        <w:rPr>
          <w:color w:val="70AD47" w:themeColor="accent6"/>
        </w:rPr>
        <w:t>surface position of indirect objects</w:t>
      </w:r>
      <w:r w:rsidR="00913ED6">
        <w:rPr>
          <w:color w:val="70AD47" w:themeColor="accent6"/>
        </w:rPr>
        <w:t xml:space="preserve"> (internal/external merge) in </w:t>
      </w:r>
      <w:r w:rsidR="00913ED6" w:rsidRPr="00913ED6">
        <w:rPr>
          <w:i/>
          <w:iCs/>
          <w:color w:val="70AD47" w:themeColor="accent6"/>
        </w:rPr>
        <w:t>out-of-the-blue</w:t>
      </w:r>
      <w:r w:rsidR="00913ED6">
        <w:rPr>
          <w:color w:val="70AD47" w:themeColor="accent6"/>
        </w:rPr>
        <w:t xml:space="preserve"> utterances.</w:t>
      </w:r>
    </w:p>
    <w:p w14:paraId="20779005" w14:textId="68FD73E7" w:rsidR="00734A98" w:rsidRDefault="00A525AD" w:rsidP="00103AB5">
      <w:pPr>
        <w:spacing w:line="276" w:lineRule="auto"/>
        <w:jc w:val="both"/>
        <w:rPr>
          <w:color w:val="70AD47" w:themeColor="accent6"/>
        </w:rPr>
      </w:pPr>
      <w:r>
        <w:rPr>
          <w:color w:val="70AD47" w:themeColor="accent6"/>
        </w:rPr>
        <w:tab/>
        <w:t xml:space="preserve">Similar data </w:t>
      </w:r>
      <w:r w:rsidR="003009B3">
        <w:rPr>
          <w:color w:val="70AD47" w:themeColor="accent6"/>
        </w:rPr>
        <w:t>were</w:t>
      </w:r>
      <w:r>
        <w:rPr>
          <w:color w:val="70AD47" w:themeColor="accent6"/>
        </w:rPr>
        <w:t xml:space="preserve"> observed with adverbials</w:t>
      </w:r>
      <w:r w:rsidR="003009B3">
        <w:rPr>
          <w:color w:val="70AD47" w:themeColor="accent6"/>
        </w:rPr>
        <w:t xml:space="preserve">, for which we registered a balanced alternation between the highest and the lowest linear position: V&gt;DO&gt;Adv/Adv&gt;V&gt;DO and S&gt;V&gt;Adv/Adv&gt;S&gt;V </w:t>
      </w:r>
      <w:r w:rsidR="007A023B">
        <w:rPr>
          <w:color w:val="70AD47" w:themeColor="accent6"/>
        </w:rPr>
        <w:t>(I chose to only test mono-</w:t>
      </w:r>
      <w:r w:rsidR="003009B3">
        <w:rPr>
          <w:color w:val="70AD47" w:themeColor="accent6"/>
        </w:rPr>
        <w:t xml:space="preserve"> and bi-</w:t>
      </w:r>
      <w:proofErr w:type="spellStart"/>
      <w:r w:rsidR="007A023B">
        <w:rPr>
          <w:color w:val="70AD47" w:themeColor="accent6"/>
        </w:rPr>
        <w:t>argumental</w:t>
      </w:r>
      <w:proofErr w:type="spellEnd"/>
      <w:r w:rsidR="007A023B">
        <w:rPr>
          <w:color w:val="70AD47" w:themeColor="accent6"/>
        </w:rPr>
        <w:t xml:space="preserve"> structures to reduce </w:t>
      </w:r>
      <w:r w:rsidR="003009B3">
        <w:rPr>
          <w:color w:val="70AD47" w:themeColor="accent6"/>
        </w:rPr>
        <w:t xml:space="preserve">any </w:t>
      </w:r>
      <w:r w:rsidR="007A023B">
        <w:rPr>
          <w:color w:val="70AD47" w:themeColor="accent6"/>
        </w:rPr>
        <w:t>possible intervention to a minimum).</w:t>
      </w:r>
      <w:r w:rsidR="00734A98">
        <w:rPr>
          <w:color w:val="70AD47" w:themeColor="accent6"/>
        </w:rPr>
        <w:t xml:space="preserve"> The data were distributed homogeneously among regions.</w:t>
      </w:r>
    </w:p>
    <w:p w14:paraId="21449027" w14:textId="2ECF3E80" w:rsidR="00A525AD" w:rsidRPr="001857F0" w:rsidRDefault="00B8422F" w:rsidP="00734A98">
      <w:pPr>
        <w:spacing w:line="276" w:lineRule="auto"/>
        <w:ind w:firstLine="720"/>
        <w:jc w:val="both"/>
        <w:rPr>
          <w:color w:val="70AD47" w:themeColor="accent6"/>
        </w:rPr>
      </w:pPr>
      <w:r>
        <w:rPr>
          <w:color w:val="70AD47" w:themeColor="accent6"/>
        </w:rPr>
        <w:t xml:space="preserve">While no </w:t>
      </w:r>
      <w:r w:rsidR="00734A98">
        <w:rPr>
          <w:color w:val="70AD47" w:themeColor="accent6"/>
        </w:rPr>
        <w:t xml:space="preserve">dramatic </w:t>
      </w:r>
      <w:r>
        <w:rPr>
          <w:color w:val="70AD47" w:themeColor="accent6"/>
        </w:rPr>
        <w:t>geographic effect was observed</w:t>
      </w:r>
      <w:r w:rsidR="00734A98">
        <w:rPr>
          <w:color w:val="70AD47" w:themeColor="accent6"/>
        </w:rPr>
        <w:t xml:space="preserve"> in this task</w:t>
      </w:r>
      <w:r>
        <w:rPr>
          <w:color w:val="70AD47" w:themeColor="accent6"/>
        </w:rPr>
        <w:t>, and while the exact reason(s) behind the choice of marked orders</w:t>
      </w:r>
      <w:r w:rsidR="00734A98">
        <w:rPr>
          <w:color w:val="70AD47" w:themeColor="accent6"/>
        </w:rPr>
        <w:t xml:space="preserve"> in non-focus environments</w:t>
      </w:r>
      <w:r>
        <w:rPr>
          <w:color w:val="70AD47" w:themeColor="accent6"/>
        </w:rPr>
        <w:t xml:space="preserve"> remains to be determined, the </w:t>
      </w:r>
      <w:r w:rsidR="00734A98">
        <w:rPr>
          <w:color w:val="70AD47" w:themeColor="accent6"/>
        </w:rPr>
        <w:t xml:space="preserve">partial </w:t>
      </w:r>
      <w:r>
        <w:rPr>
          <w:color w:val="70AD47" w:themeColor="accent6"/>
        </w:rPr>
        <w:t xml:space="preserve">acceptance of these </w:t>
      </w:r>
      <w:proofErr w:type="spellStart"/>
      <w:r>
        <w:rPr>
          <w:color w:val="70AD47" w:themeColor="accent6"/>
        </w:rPr>
        <w:t>shiftings</w:t>
      </w:r>
      <w:proofErr w:type="spellEnd"/>
      <w:r>
        <w:rPr>
          <w:color w:val="70AD47" w:themeColor="accent6"/>
        </w:rPr>
        <w:t xml:space="preserve"> will have to be taken into consideration when assessing the focus data of Part II. </w:t>
      </w:r>
    </w:p>
    <w:p w14:paraId="66DC37AA" w14:textId="77777777" w:rsidR="00DC1274" w:rsidRPr="001950C3" w:rsidRDefault="00DC1274" w:rsidP="00420441">
      <w:pPr>
        <w:spacing w:line="276" w:lineRule="auto"/>
        <w:jc w:val="both"/>
        <w:rPr>
          <w:color w:val="0070C0"/>
        </w:rPr>
      </w:pPr>
    </w:p>
    <w:p w14:paraId="3EB58D4D" w14:textId="1C66F09B"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w:t>
      </w:r>
      <w:r w:rsidR="005432FE">
        <w:rPr>
          <w:b/>
          <w:bCs/>
          <w:color w:val="0070C0"/>
        </w:rPr>
        <w:t>ive</w:t>
      </w:r>
      <w:r w:rsidRPr="002A1805">
        <w:rPr>
          <w:b/>
          <w:bCs/>
          <w:color w:val="0070C0"/>
        </w:rPr>
        <w:t xml:space="preserve"> and contrastive focus shifting</w:t>
      </w:r>
    </w:p>
    <w:p w14:paraId="47B2D0D3" w14:textId="320204F9" w:rsidR="00416E29" w:rsidRPr="001950C3" w:rsidRDefault="00416E29" w:rsidP="00416E29">
      <w:pPr>
        <w:spacing w:line="276" w:lineRule="auto"/>
        <w:jc w:val="both"/>
        <w:rPr>
          <w:color w:val="0070C0"/>
        </w:rPr>
      </w:pPr>
    </w:p>
    <w:p w14:paraId="1C28D566" w14:textId="77777777" w:rsidR="00955F81" w:rsidRDefault="005432FE" w:rsidP="00416E29">
      <w:pPr>
        <w:spacing w:line="276" w:lineRule="auto"/>
        <w:jc w:val="both"/>
        <w:rPr>
          <w:color w:val="767171" w:themeColor="background2" w:themeShade="80"/>
        </w:rPr>
      </w:pPr>
      <w:r>
        <w:rPr>
          <w:color w:val="767171" w:themeColor="background2" w:themeShade="80"/>
        </w:rPr>
        <w:t>This task aimed at pre-determining whether contrastive and corrective contexts trigger focus shifting in the varieties of Regional Italian under consideration. For clarity, the main difference between the two types of foci lies in the type of the utterance that triggers th</w:t>
      </w:r>
      <w:r w:rsidR="00955F81">
        <w:rPr>
          <w:color w:val="767171" w:themeColor="background2" w:themeShade="80"/>
        </w:rPr>
        <w:t xml:space="preserve">e </w:t>
      </w:r>
      <w:r>
        <w:rPr>
          <w:color w:val="767171" w:themeColor="background2" w:themeShade="80"/>
        </w:rPr>
        <w:t>focalisation, i.e.</w:t>
      </w:r>
      <w:r w:rsidR="00955F81">
        <w:rPr>
          <w:color w:val="767171" w:themeColor="background2" w:themeShade="80"/>
        </w:rPr>
        <w:t>,</w:t>
      </w:r>
      <w:r>
        <w:rPr>
          <w:color w:val="767171" w:themeColor="background2" w:themeShade="80"/>
        </w:rPr>
        <w:t xml:space="preserve"> </w:t>
      </w:r>
      <w:r w:rsidR="00955F81">
        <w:rPr>
          <w:color w:val="767171" w:themeColor="background2" w:themeShade="80"/>
        </w:rPr>
        <w:t>contrastive foci</w:t>
      </w:r>
      <w:r>
        <w:rPr>
          <w:color w:val="767171" w:themeColor="background2" w:themeShade="80"/>
        </w:rPr>
        <w:t xml:space="preserve"> correct a declarative sentence while </w:t>
      </w:r>
      <w:r w:rsidR="00955F81">
        <w:rPr>
          <w:color w:val="767171" w:themeColor="background2" w:themeShade="80"/>
        </w:rPr>
        <w:t>corrective foci</w:t>
      </w:r>
      <w:r>
        <w:rPr>
          <w:color w:val="767171" w:themeColor="background2" w:themeShade="80"/>
        </w:rPr>
        <w:t xml:space="preserve"> correct a polar question. </w:t>
      </w:r>
    </w:p>
    <w:p w14:paraId="12858187" w14:textId="55F30F32" w:rsidR="00416E29" w:rsidRDefault="005432FE" w:rsidP="00955F81">
      <w:pPr>
        <w:spacing w:line="276" w:lineRule="auto"/>
        <w:ind w:firstLine="720"/>
        <w:jc w:val="both"/>
        <w:rPr>
          <w:color w:val="767171" w:themeColor="background2" w:themeShade="80"/>
        </w:rPr>
      </w:pPr>
      <w:r>
        <w:rPr>
          <w:color w:val="767171" w:themeColor="background2" w:themeShade="80"/>
        </w:rPr>
        <w:t>In Standard Italian, there is an important difference</w:t>
      </w:r>
      <w:r w:rsidR="00395485">
        <w:rPr>
          <w:color w:val="767171" w:themeColor="background2" w:themeShade="80"/>
        </w:rPr>
        <w:t xml:space="preserve"> in the distribution of the two types of foci, with only contrastive one</w:t>
      </w:r>
      <w:r w:rsidR="00D35610">
        <w:rPr>
          <w:color w:val="767171" w:themeColor="background2" w:themeShade="80"/>
        </w:rPr>
        <w:t>s</w:t>
      </w:r>
      <w:r w:rsidR="00395485">
        <w:rPr>
          <w:color w:val="767171" w:themeColor="background2" w:themeShade="80"/>
        </w:rPr>
        <w:t xml:space="preserve"> able to surface either in situ or ex situ</w:t>
      </w:r>
      <w:r w:rsidR="00D35610">
        <w:rPr>
          <w:color w:val="767171" w:themeColor="background2" w:themeShade="80"/>
        </w:rPr>
        <w:t xml:space="preserve"> (Bianchi 2013, Bocci &amp; Rizzi 2017, </w:t>
      </w:r>
      <w:proofErr w:type="spellStart"/>
      <w:r w:rsidR="00D35610">
        <w:rPr>
          <w:color w:val="767171" w:themeColor="background2" w:themeShade="80"/>
        </w:rPr>
        <w:t>a.o.</w:t>
      </w:r>
      <w:proofErr w:type="spellEnd"/>
      <w:r w:rsidR="00D35610">
        <w:rPr>
          <w:color w:val="767171" w:themeColor="background2" w:themeShade="80"/>
        </w:rPr>
        <w:t>)</w:t>
      </w:r>
      <w:r w:rsidR="00955F81">
        <w:rPr>
          <w:color w:val="767171" w:themeColor="background2" w:themeShade="80"/>
        </w:rPr>
        <w:t>, as in (10) and (11)</w:t>
      </w:r>
      <w:r w:rsidR="00395485">
        <w:rPr>
          <w:color w:val="767171" w:themeColor="background2" w:themeShade="80"/>
        </w:rPr>
        <w:t>.</w:t>
      </w:r>
      <w:r>
        <w:rPr>
          <w:color w:val="767171" w:themeColor="background2" w:themeShade="80"/>
        </w:rPr>
        <w:t xml:space="preserve"> </w:t>
      </w:r>
    </w:p>
    <w:p w14:paraId="48315F3E" w14:textId="291F96A8" w:rsidR="0091372B" w:rsidRDefault="0091372B" w:rsidP="0091372B">
      <w:pPr>
        <w:spacing w:line="276" w:lineRule="auto"/>
        <w:jc w:val="both"/>
        <w:rPr>
          <w:color w:val="767171" w:themeColor="background2" w:themeShade="80"/>
        </w:rPr>
      </w:pPr>
    </w:p>
    <w:tbl>
      <w:tblPr>
        <w:tblStyle w:val="TableGrid"/>
        <w:tblW w:w="0" w:type="auto"/>
        <w:tblLook w:val="04A0" w:firstRow="1" w:lastRow="0" w:firstColumn="1" w:lastColumn="0" w:noHBand="0" w:noVBand="1"/>
      </w:tblPr>
      <w:tblGrid>
        <w:gridCol w:w="616"/>
        <w:gridCol w:w="513"/>
        <w:gridCol w:w="7887"/>
      </w:tblGrid>
      <w:tr w:rsidR="0091372B" w14:paraId="2096AA32" w14:textId="77777777" w:rsidTr="007D29D7">
        <w:tc>
          <w:tcPr>
            <w:tcW w:w="616" w:type="dxa"/>
          </w:tcPr>
          <w:p w14:paraId="6B2F837F" w14:textId="24B2A17C" w:rsidR="0091372B" w:rsidRDefault="0091372B" w:rsidP="0091372B">
            <w:pPr>
              <w:spacing w:line="276" w:lineRule="auto"/>
              <w:jc w:val="both"/>
              <w:rPr>
                <w:color w:val="767171" w:themeColor="background2" w:themeShade="80"/>
              </w:rPr>
            </w:pPr>
            <w:r>
              <w:rPr>
                <w:color w:val="767171" w:themeColor="background2" w:themeShade="80"/>
              </w:rPr>
              <w:t>(10)</w:t>
            </w:r>
          </w:p>
        </w:tc>
        <w:tc>
          <w:tcPr>
            <w:tcW w:w="8400" w:type="dxa"/>
            <w:gridSpan w:val="2"/>
          </w:tcPr>
          <w:p w14:paraId="2E9B8DAB" w14:textId="365649D5" w:rsidR="0091372B" w:rsidRDefault="004729D6" w:rsidP="0091372B">
            <w:pPr>
              <w:spacing w:line="276" w:lineRule="auto"/>
              <w:jc w:val="both"/>
              <w:rPr>
                <w:color w:val="767171" w:themeColor="background2" w:themeShade="80"/>
              </w:rPr>
            </w:pPr>
            <w:r>
              <w:rPr>
                <w:color w:val="767171" w:themeColor="background2" w:themeShade="80"/>
              </w:rPr>
              <w:t>Contrastive focalisation, Standard Italian ()</w:t>
            </w:r>
          </w:p>
        </w:tc>
      </w:tr>
      <w:tr w:rsidR="0091372B" w14:paraId="3F9AF55D" w14:textId="77777777" w:rsidTr="0091372B">
        <w:tc>
          <w:tcPr>
            <w:tcW w:w="616" w:type="dxa"/>
          </w:tcPr>
          <w:p w14:paraId="4F0C082B" w14:textId="77777777" w:rsidR="0091372B" w:rsidRDefault="0091372B" w:rsidP="0091372B">
            <w:pPr>
              <w:spacing w:line="276" w:lineRule="auto"/>
              <w:jc w:val="both"/>
              <w:rPr>
                <w:color w:val="767171" w:themeColor="background2" w:themeShade="80"/>
              </w:rPr>
            </w:pPr>
          </w:p>
        </w:tc>
        <w:tc>
          <w:tcPr>
            <w:tcW w:w="513" w:type="dxa"/>
          </w:tcPr>
          <w:p w14:paraId="1BA248D1" w14:textId="77777777" w:rsidR="0091372B" w:rsidRDefault="0091372B" w:rsidP="0091372B">
            <w:pPr>
              <w:spacing w:line="276" w:lineRule="auto"/>
              <w:jc w:val="both"/>
              <w:rPr>
                <w:color w:val="767171" w:themeColor="background2" w:themeShade="80"/>
              </w:rPr>
            </w:pPr>
          </w:p>
        </w:tc>
        <w:tc>
          <w:tcPr>
            <w:tcW w:w="7887" w:type="dxa"/>
          </w:tcPr>
          <w:p w14:paraId="3BD042AF" w14:textId="77777777" w:rsidR="0091372B" w:rsidRDefault="0091372B" w:rsidP="0091372B">
            <w:pPr>
              <w:spacing w:line="276" w:lineRule="auto"/>
              <w:jc w:val="both"/>
              <w:rPr>
                <w:color w:val="767171" w:themeColor="background2" w:themeShade="80"/>
              </w:rPr>
            </w:pPr>
          </w:p>
        </w:tc>
      </w:tr>
      <w:tr w:rsidR="0091372B" w14:paraId="72E1DAC9" w14:textId="77777777" w:rsidTr="0091372B">
        <w:tc>
          <w:tcPr>
            <w:tcW w:w="616" w:type="dxa"/>
          </w:tcPr>
          <w:p w14:paraId="36C3B6B2" w14:textId="77777777" w:rsidR="0091372B" w:rsidRDefault="0091372B" w:rsidP="0091372B">
            <w:pPr>
              <w:spacing w:line="276" w:lineRule="auto"/>
              <w:jc w:val="both"/>
              <w:rPr>
                <w:color w:val="767171" w:themeColor="background2" w:themeShade="80"/>
              </w:rPr>
            </w:pPr>
          </w:p>
        </w:tc>
        <w:tc>
          <w:tcPr>
            <w:tcW w:w="513" w:type="dxa"/>
          </w:tcPr>
          <w:p w14:paraId="0D449033" w14:textId="77777777" w:rsidR="0091372B" w:rsidRDefault="0091372B" w:rsidP="0091372B">
            <w:pPr>
              <w:spacing w:line="276" w:lineRule="auto"/>
              <w:jc w:val="both"/>
              <w:rPr>
                <w:color w:val="767171" w:themeColor="background2" w:themeShade="80"/>
              </w:rPr>
            </w:pPr>
          </w:p>
        </w:tc>
        <w:tc>
          <w:tcPr>
            <w:tcW w:w="7887" w:type="dxa"/>
          </w:tcPr>
          <w:p w14:paraId="1A5CBD96" w14:textId="77777777" w:rsidR="0091372B" w:rsidRDefault="0091372B" w:rsidP="0091372B">
            <w:pPr>
              <w:spacing w:line="276" w:lineRule="auto"/>
              <w:jc w:val="both"/>
              <w:rPr>
                <w:color w:val="767171" w:themeColor="background2" w:themeShade="80"/>
              </w:rPr>
            </w:pPr>
          </w:p>
        </w:tc>
      </w:tr>
      <w:tr w:rsidR="0091372B" w14:paraId="2383E8E1" w14:textId="77777777" w:rsidTr="0091372B">
        <w:tc>
          <w:tcPr>
            <w:tcW w:w="616" w:type="dxa"/>
          </w:tcPr>
          <w:p w14:paraId="5D93532B" w14:textId="77777777" w:rsidR="0091372B" w:rsidRDefault="0091372B" w:rsidP="0091372B">
            <w:pPr>
              <w:spacing w:line="276" w:lineRule="auto"/>
              <w:jc w:val="both"/>
              <w:rPr>
                <w:color w:val="767171" w:themeColor="background2" w:themeShade="80"/>
              </w:rPr>
            </w:pPr>
          </w:p>
        </w:tc>
        <w:tc>
          <w:tcPr>
            <w:tcW w:w="513" w:type="dxa"/>
          </w:tcPr>
          <w:p w14:paraId="77EA8617" w14:textId="77777777" w:rsidR="0091372B" w:rsidRDefault="0091372B" w:rsidP="0091372B">
            <w:pPr>
              <w:spacing w:line="276" w:lineRule="auto"/>
              <w:jc w:val="both"/>
              <w:rPr>
                <w:color w:val="767171" w:themeColor="background2" w:themeShade="80"/>
              </w:rPr>
            </w:pPr>
          </w:p>
        </w:tc>
        <w:tc>
          <w:tcPr>
            <w:tcW w:w="7887" w:type="dxa"/>
          </w:tcPr>
          <w:p w14:paraId="7B2708A7" w14:textId="77777777" w:rsidR="0091372B" w:rsidRDefault="0091372B" w:rsidP="0091372B">
            <w:pPr>
              <w:spacing w:line="276" w:lineRule="auto"/>
              <w:jc w:val="both"/>
              <w:rPr>
                <w:color w:val="767171" w:themeColor="background2" w:themeShade="80"/>
              </w:rPr>
            </w:pPr>
          </w:p>
        </w:tc>
      </w:tr>
      <w:tr w:rsidR="0091372B" w14:paraId="588F0E70" w14:textId="77777777" w:rsidTr="0091372B">
        <w:tc>
          <w:tcPr>
            <w:tcW w:w="616" w:type="dxa"/>
          </w:tcPr>
          <w:p w14:paraId="1689BD1B" w14:textId="77777777" w:rsidR="0091372B" w:rsidRDefault="0091372B" w:rsidP="0091372B">
            <w:pPr>
              <w:spacing w:line="276" w:lineRule="auto"/>
              <w:jc w:val="both"/>
              <w:rPr>
                <w:color w:val="767171" w:themeColor="background2" w:themeShade="80"/>
              </w:rPr>
            </w:pPr>
          </w:p>
        </w:tc>
        <w:tc>
          <w:tcPr>
            <w:tcW w:w="513" w:type="dxa"/>
          </w:tcPr>
          <w:p w14:paraId="3D288595" w14:textId="77777777" w:rsidR="0091372B" w:rsidRDefault="0091372B" w:rsidP="0091372B">
            <w:pPr>
              <w:spacing w:line="276" w:lineRule="auto"/>
              <w:jc w:val="both"/>
              <w:rPr>
                <w:color w:val="767171" w:themeColor="background2" w:themeShade="80"/>
              </w:rPr>
            </w:pPr>
          </w:p>
        </w:tc>
        <w:tc>
          <w:tcPr>
            <w:tcW w:w="7887" w:type="dxa"/>
          </w:tcPr>
          <w:p w14:paraId="569977A0" w14:textId="77777777" w:rsidR="0091372B" w:rsidRDefault="0091372B" w:rsidP="0091372B">
            <w:pPr>
              <w:spacing w:line="276" w:lineRule="auto"/>
              <w:jc w:val="both"/>
              <w:rPr>
                <w:color w:val="767171" w:themeColor="background2" w:themeShade="80"/>
              </w:rPr>
            </w:pPr>
          </w:p>
        </w:tc>
      </w:tr>
      <w:tr w:rsidR="0091372B" w14:paraId="501F1AC5" w14:textId="77777777" w:rsidTr="0091372B">
        <w:tc>
          <w:tcPr>
            <w:tcW w:w="616" w:type="dxa"/>
          </w:tcPr>
          <w:p w14:paraId="0329CC50" w14:textId="77777777" w:rsidR="0091372B" w:rsidRDefault="0091372B" w:rsidP="0091372B">
            <w:pPr>
              <w:spacing w:line="276" w:lineRule="auto"/>
              <w:jc w:val="both"/>
              <w:rPr>
                <w:color w:val="767171" w:themeColor="background2" w:themeShade="80"/>
              </w:rPr>
            </w:pPr>
          </w:p>
        </w:tc>
        <w:tc>
          <w:tcPr>
            <w:tcW w:w="513" w:type="dxa"/>
          </w:tcPr>
          <w:p w14:paraId="758FC292" w14:textId="77777777" w:rsidR="0091372B" w:rsidRDefault="0091372B" w:rsidP="0091372B">
            <w:pPr>
              <w:spacing w:line="276" w:lineRule="auto"/>
              <w:jc w:val="both"/>
              <w:rPr>
                <w:color w:val="767171" w:themeColor="background2" w:themeShade="80"/>
              </w:rPr>
            </w:pPr>
          </w:p>
        </w:tc>
        <w:tc>
          <w:tcPr>
            <w:tcW w:w="7887" w:type="dxa"/>
          </w:tcPr>
          <w:p w14:paraId="27284D02" w14:textId="77777777" w:rsidR="0091372B" w:rsidRDefault="0091372B" w:rsidP="0091372B">
            <w:pPr>
              <w:spacing w:line="276" w:lineRule="auto"/>
              <w:jc w:val="both"/>
              <w:rPr>
                <w:color w:val="767171" w:themeColor="background2" w:themeShade="80"/>
              </w:rPr>
            </w:pPr>
          </w:p>
        </w:tc>
      </w:tr>
    </w:tbl>
    <w:p w14:paraId="3BE3694C" w14:textId="001A8CCF" w:rsidR="0091372B" w:rsidRDefault="0091372B" w:rsidP="0091372B">
      <w:pPr>
        <w:spacing w:line="276" w:lineRule="auto"/>
        <w:jc w:val="both"/>
        <w:rPr>
          <w:color w:val="767171" w:themeColor="background2" w:themeShade="80"/>
        </w:rPr>
      </w:pPr>
    </w:p>
    <w:tbl>
      <w:tblPr>
        <w:tblStyle w:val="TableGrid"/>
        <w:tblW w:w="0" w:type="auto"/>
        <w:tblLook w:val="04A0" w:firstRow="1" w:lastRow="0" w:firstColumn="1" w:lastColumn="0" w:noHBand="0" w:noVBand="1"/>
      </w:tblPr>
      <w:tblGrid>
        <w:gridCol w:w="616"/>
        <w:gridCol w:w="513"/>
        <w:gridCol w:w="7887"/>
      </w:tblGrid>
      <w:tr w:rsidR="0091372B" w14:paraId="0484E1B3" w14:textId="77777777" w:rsidTr="00D526B7">
        <w:tc>
          <w:tcPr>
            <w:tcW w:w="616" w:type="dxa"/>
          </w:tcPr>
          <w:p w14:paraId="5FEE8715" w14:textId="17695334" w:rsidR="0091372B" w:rsidRDefault="0091372B" w:rsidP="004B4CB8">
            <w:pPr>
              <w:spacing w:line="276" w:lineRule="auto"/>
              <w:jc w:val="both"/>
              <w:rPr>
                <w:color w:val="767171" w:themeColor="background2" w:themeShade="80"/>
              </w:rPr>
            </w:pPr>
            <w:r>
              <w:rPr>
                <w:color w:val="767171" w:themeColor="background2" w:themeShade="80"/>
              </w:rPr>
              <w:t>(11)</w:t>
            </w:r>
          </w:p>
        </w:tc>
        <w:tc>
          <w:tcPr>
            <w:tcW w:w="8400" w:type="dxa"/>
            <w:gridSpan w:val="2"/>
          </w:tcPr>
          <w:p w14:paraId="77229396" w14:textId="5E86F707" w:rsidR="0091372B" w:rsidRDefault="004729D6" w:rsidP="004B4CB8">
            <w:pPr>
              <w:spacing w:line="276" w:lineRule="auto"/>
              <w:jc w:val="both"/>
              <w:rPr>
                <w:color w:val="767171" w:themeColor="background2" w:themeShade="80"/>
              </w:rPr>
            </w:pPr>
            <w:r>
              <w:rPr>
                <w:color w:val="767171" w:themeColor="background2" w:themeShade="80"/>
              </w:rPr>
              <w:t>Corrective focalisation, Standard Italian ()</w:t>
            </w:r>
          </w:p>
        </w:tc>
      </w:tr>
      <w:tr w:rsidR="0091372B" w14:paraId="0A313EF7" w14:textId="77777777" w:rsidTr="0091372B">
        <w:tc>
          <w:tcPr>
            <w:tcW w:w="616" w:type="dxa"/>
          </w:tcPr>
          <w:p w14:paraId="78D33B68" w14:textId="77777777" w:rsidR="0091372B" w:rsidRDefault="0091372B" w:rsidP="004B4CB8">
            <w:pPr>
              <w:spacing w:line="276" w:lineRule="auto"/>
              <w:jc w:val="both"/>
              <w:rPr>
                <w:color w:val="767171" w:themeColor="background2" w:themeShade="80"/>
              </w:rPr>
            </w:pPr>
          </w:p>
        </w:tc>
        <w:tc>
          <w:tcPr>
            <w:tcW w:w="513" w:type="dxa"/>
          </w:tcPr>
          <w:p w14:paraId="5A9B0B80" w14:textId="77777777" w:rsidR="0091372B" w:rsidRDefault="0091372B" w:rsidP="004B4CB8">
            <w:pPr>
              <w:spacing w:line="276" w:lineRule="auto"/>
              <w:jc w:val="both"/>
              <w:rPr>
                <w:color w:val="767171" w:themeColor="background2" w:themeShade="80"/>
              </w:rPr>
            </w:pPr>
          </w:p>
        </w:tc>
        <w:tc>
          <w:tcPr>
            <w:tcW w:w="7887" w:type="dxa"/>
          </w:tcPr>
          <w:p w14:paraId="09151E1F" w14:textId="77777777" w:rsidR="0091372B" w:rsidRDefault="0091372B" w:rsidP="004B4CB8">
            <w:pPr>
              <w:spacing w:line="276" w:lineRule="auto"/>
              <w:jc w:val="both"/>
              <w:rPr>
                <w:color w:val="767171" w:themeColor="background2" w:themeShade="80"/>
              </w:rPr>
            </w:pPr>
          </w:p>
        </w:tc>
      </w:tr>
      <w:tr w:rsidR="0091372B" w14:paraId="44C9182E" w14:textId="77777777" w:rsidTr="0091372B">
        <w:tc>
          <w:tcPr>
            <w:tcW w:w="616" w:type="dxa"/>
          </w:tcPr>
          <w:p w14:paraId="1E4949F2" w14:textId="77777777" w:rsidR="0091372B" w:rsidRDefault="0091372B" w:rsidP="004B4CB8">
            <w:pPr>
              <w:spacing w:line="276" w:lineRule="auto"/>
              <w:jc w:val="both"/>
              <w:rPr>
                <w:color w:val="767171" w:themeColor="background2" w:themeShade="80"/>
              </w:rPr>
            </w:pPr>
          </w:p>
        </w:tc>
        <w:tc>
          <w:tcPr>
            <w:tcW w:w="513" w:type="dxa"/>
          </w:tcPr>
          <w:p w14:paraId="7CA695F0" w14:textId="77777777" w:rsidR="0091372B" w:rsidRDefault="0091372B" w:rsidP="004B4CB8">
            <w:pPr>
              <w:spacing w:line="276" w:lineRule="auto"/>
              <w:jc w:val="both"/>
              <w:rPr>
                <w:color w:val="767171" w:themeColor="background2" w:themeShade="80"/>
              </w:rPr>
            </w:pPr>
          </w:p>
        </w:tc>
        <w:tc>
          <w:tcPr>
            <w:tcW w:w="7887" w:type="dxa"/>
          </w:tcPr>
          <w:p w14:paraId="1DD30DE7" w14:textId="77777777" w:rsidR="0091372B" w:rsidRDefault="0091372B" w:rsidP="004B4CB8">
            <w:pPr>
              <w:spacing w:line="276" w:lineRule="auto"/>
              <w:jc w:val="both"/>
              <w:rPr>
                <w:color w:val="767171" w:themeColor="background2" w:themeShade="80"/>
              </w:rPr>
            </w:pPr>
          </w:p>
        </w:tc>
      </w:tr>
      <w:tr w:rsidR="0091372B" w14:paraId="666219EB" w14:textId="77777777" w:rsidTr="0091372B">
        <w:tc>
          <w:tcPr>
            <w:tcW w:w="616" w:type="dxa"/>
          </w:tcPr>
          <w:p w14:paraId="71B17E91" w14:textId="77777777" w:rsidR="0091372B" w:rsidRDefault="0091372B" w:rsidP="004B4CB8">
            <w:pPr>
              <w:spacing w:line="276" w:lineRule="auto"/>
              <w:jc w:val="both"/>
              <w:rPr>
                <w:color w:val="767171" w:themeColor="background2" w:themeShade="80"/>
              </w:rPr>
            </w:pPr>
          </w:p>
        </w:tc>
        <w:tc>
          <w:tcPr>
            <w:tcW w:w="513" w:type="dxa"/>
          </w:tcPr>
          <w:p w14:paraId="4151630F" w14:textId="77777777" w:rsidR="0091372B" w:rsidRDefault="0091372B" w:rsidP="004B4CB8">
            <w:pPr>
              <w:spacing w:line="276" w:lineRule="auto"/>
              <w:jc w:val="both"/>
              <w:rPr>
                <w:color w:val="767171" w:themeColor="background2" w:themeShade="80"/>
              </w:rPr>
            </w:pPr>
          </w:p>
        </w:tc>
        <w:tc>
          <w:tcPr>
            <w:tcW w:w="7887" w:type="dxa"/>
          </w:tcPr>
          <w:p w14:paraId="6A51FCF4" w14:textId="77777777" w:rsidR="0091372B" w:rsidRDefault="0091372B" w:rsidP="004B4CB8">
            <w:pPr>
              <w:spacing w:line="276" w:lineRule="auto"/>
              <w:jc w:val="both"/>
              <w:rPr>
                <w:color w:val="767171" w:themeColor="background2" w:themeShade="80"/>
              </w:rPr>
            </w:pPr>
          </w:p>
        </w:tc>
      </w:tr>
      <w:tr w:rsidR="0091372B" w14:paraId="7487F3A6" w14:textId="77777777" w:rsidTr="0091372B">
        <w:tc>
          <w:tcPr>
            <w:tcW w:w="616" w:type="dxa"/>
          </w:tcPr>
          <w:p w14:paraId="5C89412F" w14:textId="77777777" w:rsidR="0091372B" w:rsidRDefault="0091372B" w:rsidP="004B4CB8">
            <w:pPr>
              <w:spacing w:line="276" w:lineRule="auto"/>
              <w:jc w:val="both"/>
              <w:rPr>
                <w:color w:val="767171" w:themeColor="background2" w:themeShade="80"/>
              </w:rPr>
            </w:pPr>
          </w:p>
        </w:tc>
        <w:tc>
          <w:tcPr>
            <w:tcW w:w="513" w:type="dxa"/>
          </w:tcPr>
          <w:p w14:paraId="189688BC" w14:textId="77777777" w:rsidR="0091372B" w:rsidRDefault="0091372B" w:rsidP="004B4CB8">
            <w:pPr>
              <w:spacing w:line="276" w:lineRule="auto"/>
              <w:jc w:val="both"/>
              <w:rPr>
                <w:color w:val="767171" w:themeColor="background2" w:themeShade="80"/>
              </w:rPr>
            </w:pPr>
          </w:p>
        </w:tc>
        <w:tc>
          <w:tcPr>
            <w:tcW w:w="7887" w:type="dxa"/>
          </w:tcPr>
          <w:p w14:paraId="620853E9" w14:textId="77777777" w:rsidR="0091372B" w:rsidRDefault="0091372B" w:rsidP="004B4CB8">
            <w:pPr>
              <w:spacing w:line="276" w:lineRule="auto"/>
              <w:jc w:val="both"/>
              <w:rPr>
                <w:color w:val="767171" w:themeColor="background2" w:themeShade="80"/>
              </w:rPr>
            </w:pPr>
          </w:p>
        </w:tc>
      </w:tr>
      <w:tr w:rsidR="0091372B" w14:paraId="014C900C" w14:textId="77777777" w:rsidTr="0091372B">
        <w:tc>
          <w:tcPr>
            <w:tcW w:w="616" w:type="dxa"/>
          </w:tcPr>
          <w:p w14:paraId="1E9B17A0" w14:textId="77777777" w:rsidR="0091372B" w:rsidRDefault="0091372B" w:rsidP="004B4CB8">
            <w:pPr>
              <w:spacing w:line="276" w:lineRule="auto"/>
              <w:jc w:val="both"/>
              <w:rPr>
                <w:color w:val="767171" w:themeColor="background2" w:themeShade="80"/>
              </w:rPr>
            </w:pPr>
          </w:p>
        </w:tc>
        <w:tc>
          <w:tcPr>
            <w:tcW w:w="513" w:type="dxa"/>
          </w:tcPr>
          <w:p w14:paraId="3EE61364" w14:textId="77777777" w:rsidR="0091372B" w:rsidRDefault="0091372B" w:rsidP="004B4CB8">
            <w:pPr>
              <w:spacing w:line="276" w:lineRule="auto"/>
              <w:jc w:val="both"/>
              <w:rPr>
                <w:color w:val="767171" w:themeColor="background2" w:themeShade="80"/>
              </w:rPr>
            </w:pPr>
          </w:p>
        </w:tc>
        <w:tc>
          <w:tcPr>
            <w:tcW w:w="7887" w:type="dxa"/>
          </w:tcPr>
          <w:p w14:paraId="1B82BAFF" w14:textId="77777777" w:rsidR="0091372B" w:rsidRDefault="0091372B" w:rsidP="004B4CB8">
            <w:pPr>
              <w:spacing w:line="276" w:lineRule="auto"/>
              <w:jc w:val="both"/>
              <w:rPr>
                <w:color w:val="767171" w:themeColor="background2" w:themeShade="80"/>
              </w:rPr>
            </w:pPr>
          </w:p>
        </w:tc>
      </w:tr>
    </w:tbl>
    <w:p w14:paraId="047A559C" w14:textId="6432E1D0" w:rsidR="002153EF" w:rsidRDefault="002153EF" w:rsidP="002153EF">
      <w:pPr>
        <w:spacing w:line="276" w:lineRule="auto"/>
        <w:jc w:val="both"/>
        <w:rPr>
          <w:color w:val="0070C0"/>
        </w:rPr>
      </w:pPr>
    </w:p>
    <w:p w14:paraId="4995428D" w14:textId="12D95F32" w:rsidR="00666D93" w:rsidRDefault="002153EF" w:rsidP="002153EF">
      <w:pPr>
        <w:spacing w:line="276" w:lineRule="auto"/>
        <w:jc w:val="both"/>
        <w:rPr>
          <w:color w:val="0070C0"/>
        </w:rPr>
      </w:pPr>
      <w:r>
        <w:rPr>
          <w:color w:val="0070C0"/>
        </w:rPr>
        <w:t>In this task, we th</w:t>
      </w:r>
      <w:r w:rsidR="0091567F">
        <w:rPr>
          <w:color w:val="0070C0"/>
        </w:rPr>
        <w:t>us</w:t>
      </w:r>
      <w:r>
        <w:rPr>
          <w:color w:val="0070C0"/>
        </w:rPr>
        <w:t xml:space="preserve"> aimed at observing whether distributional differences </w:t>
      </w:r>
      <w:r w:rsidR="008D7F70">
        <w:rPr>
          <w:color w:val="0070C0"/>
        </w:rPr>
        <w:t>like</w:t>
      </w:r>
      <w:r>
        <w:rPr>
          <w:color w:val="0070C0"/>
        </w:rPr>
        <w:t xml:space="preserve"> those in (10) and (11) can be observed Regional Italian, and whether these vary geographically. The tokens were </w:t>
      </w:r>
      <w:r w:rsidR="00666D93">
        <w:rPr>
          <w:color w:val="0070C0"/>
        </w:rPr>
        <w:t xml:space="preserve">also </w:t>
      </w:r>
      <w:r>
        <w:rPr>
          <w:color w:val="0070C0"/>
        </w:rPr>
        <w:t xml:space="preserve">designed </w:t>
      </w:r>
      <w:r w:rsidR="00666D93">
        <w:rPr>
          <w:color w:val="0070C0"/>
        </w:rPr>
        <w:t>to</w:t>
      </w:r>
      <w:r>
        <w:rPr>
          <w:color w:val="0070C0"/>
        </w:rPr>
        <w:t xml:space="preserve"> test whether animacy played a role in the distribution of the focalisations under investigation, which was excluded by our data</w:t>
      </w:r>
      <w:r w:rsidR="004E6950">
        <w:rPr>
          <w:color w:val="0070C0"/>
        </w:rPr>
        <w:t xml:space="preserve"> in all cases except that of contrastive focus shifting, which seems </w:t>
      </w:r>
      <w:r w:rsidR="008D7F70">
        <w:rPr>
          <w:color w:val="0070C0"/>
        </w:rPr>
        <w:t>facilitated with [–</w:t>
      </w:r>
      <w:proofErr w:type="gramStart"/>
      <w:r w:rsidR="008D7F70">
        <w:rPr>
          <w:color w:val="0070C0"/>
        </w:rPr>
        <w:t>human;</w:t>
      </w:r>
      <w:r w:rsidR="008D7F70">
        <w:rPr>
          <w:color w:val="0070C0"/>
        </w:rPr>
        <w:t>–</w:t>
      </w:r>
      <w:proofErr w:type="gramEnd"/>
      <w:r w:rsidR="008D7F70">
        <w:rPr>
          <w:color w:val="0070C0"/>
        </w:rPr>
        <w:t>animate] referents</w:t>
      </w:r>
      <w:r>
        <w:rPr>
          <w:color w:val="0070C0"/>
        </w:rPr>
        <w:t>.</w:t>
      </w:r>
      <w:r w:rsidR="008D7F70">
        <w:rPr>
          <w:color w:val="0070C0"/>
        </w:rPr>
        <w:t xml:space="preserve"> </w:t>
      </w:r>
      <w:r w:rsidR="00666D93">
        <w:rPr>
          <w:color w:val="0070C0"/>
        </w:rPr>
        <w:t xml:space="preserve"> </w:t>
      </w:r>
    </w:p>
    <w:p w14:paraId="65E74122" w14:textId="7ED634BD" w:rsidR="002153EF" w:rsidRDefault="00630075" w:rsidP="00630075">
      <w:pPr>
        <w:spacing w:line="276" w:lineRule="auto"/>
        <w:ind w:firstLine="720"/>
        <w:jc w:val="both"/>
        <w:rPr>
          <w:color w:val="0070C0"/>
        </w:rPr>
      </w:pPr>
      <w:r>
        <w:rPr>
          <w:color w:val="0070C0"/>
        </w:rPr>
        <w:t>All</w:t>
      </w:r>
      <w:r w:rsidR="00666D93">
        <w:rPr>
          <w:color w:val="0070C0"/>
        </w:rPr>
        <w:t xml:space="preserve"> speakers were </w:t>
      </w:r>
      <w:r w:rsidR="0091567F">
        <w:rPr>
          <w:color w:val="0070C0"/>
        </w:rPr>
        <w:t xml:space="preserve">presented with </w:t>
      </w:r>
      <w:r>
        <w:rPr>
          <w:color w:val="0070C0"/>
        </w:rPr>
        <w:t xml:space="preserve">3 </w:t>
      </w:r>
      <w:r w:rsidR="0091567F">
        <w:rPr>
          <w:color w:val="0070C0"/>
        </w:rPr>
        <w:t>utterances to correct</w:t>
      </w:r>
      <w:r>
        <w:rPr>
          <w:color w:val="0070C0"/>
        </w:rPr>
        <w:t xml:space="preserve">, randomly distributed between contrastive and corrective. All tested verbs were </w:t>
      </w:r>
      <w:proofErr w:type="spellStart"/>
      <w:r>
        <w:rPr>
          <w:color w:val="0070C0"/>
        </w:rPr>
        <w:t>ditransitives</w:t>
      </w:r>
      <w:proofErr w:type="spellEnd"/>
      <w:r>
        <w:rPr>
          <w:color w:val="0070C0"/>
        </w:rPr>
        <w:t xml:space="preserve">. </w:t>
      </w:r>
      <w:r w:rsidR="00D87087">
        <w:rPr>
          <w:color w:val="0070C0"/>
        </w:rPr>
        <w:t>A r</w:t>
      </w:r>
      <w:r w:rsidR="002153EF">
        <w:rPr>
          <w:color w:val="0070C0"/>
        </w:rPr>
        <w:t xml:space="preserve">epresentative example for this task </w:t>
      </w:r>
      <w:r w:rsidR="00D87087">
        <w:rPr>
          <w:color w:val="0070C0"/>
        </w:rPr>
        <w:t>is reported in (12) (corrective context).</w:t>
      </w:r>
    </w:p>
    <w:p w14:paraId="4514C0B7" w14:textId="16B8231D" w:rsidR="00605380" w:rsidRDefault="00605380" w:rsidP="005B3415">
      <w:pPr>
        <w:spacing w:line="276" w:lineRule="auto"/>
        <w:jc w:val="both"/>
        <w:rPr>
          <w:b/>
          <w:bCs/>
          <w:color w:val="7030A0"/>
        </w:rPr>
      </w:pPr>
    </w:p>
    <w:tbl>
      <w:tblPr>
        <w:tblStyle w:val="TableGrid"/>
        <w:tblW w:w="0" w:type="auto"/>
        <w:tblLook w:val="04A0" w:firstRow="1" w:lastRow="0" w:firstColumn="1" w:lastColumn="0" w:noHBand="0" w:noVBand="1"/>
      </w:tblPr>
      <w:tblGrid>
        <w:gridCol w:w="616"/>
        <w:gridCol w:w="1197"/>
        <w:gridCol w:w="7203"/>
      </w:tblGrid>
      <w:tr w:rsidR="00D87087" w:rsidRPr="006B06CD" w14:paraId="50A15F94" w14:textId="77777777" w:rsidTr="004B4CB8">
        <w:tc>
          <w:tcPr>
            <w:tcW w:w="496" w:type="dxa"/>
          </w:tcPr>
          <w:p w14:paraId="34342046" w14:textId="574E0455" w:rsidR="00D87087" w:rsidRDefault="00D87087" w:rsidP="004B4CB8">
            <w:pPr>
              <w:spacing w:line="276" w:lineRule="auto"/>
              <w:jc w:val="both"/>
              <w:rPr>
                <w:color w:val="0070C0"/>
              </w:rPr>
            </w:pPr>
            <w:r>
              <w:rPr>
                <w:color w:val="0070C0"/>
              </w:rPr>
              <w:t>(1</w:t>
            </w:r>
            <w:r w:rsidR="008C44E1">
              <w:rPr>
                <w:color w:val="0070C0"/>
              </w:rPr>
              <w:t>2</w:t>
            </w:r>
            <w:r>
              <w:rPr>
                <w:color w:val="0070C0"/>
              </w:rPr>
              <w:t>)</w:t>
            </w:r>
          </w:p>
        </w:tc>
        <w:tc>
          <w:tcPr>
            <w:tcW w:w="1200" w:type="dxa"/>
          </w:tcPr>
          <w:p w14:paraId="4EC6F16C" w14:textId="77777777" w:rsidR="00D87087" w:rsidRDefault="00D87087" w:rsidP="004B4CB8">
            <w:pPr>
              <w:spacing w:line="276" w:lineRule="auto"/>
              <w:jc w:val="both"/>
              <w:rPr>
                <w:color w:val="0070C0"/>
              </w:rPr>
            </w:pPr>
            <w:r>
              <w:rPr>
                <w:color w:val="0070C0"/>
              </w:rPr>
              <w:t>Context:</w:t>
            </w:r>
          </w:p>
        </w:tc>
        <w:tc>
          <w:tcPr>
            <w:tcW w:w="7320" w:type="dxa"/>
          </w:tcPr>
          <w:p w14:paraId="4128ADD3" w14:textId="63227296" w:rsidR="00D87087" w:rsidRPr="006B06CD" w:rsidRDefault="00630075" w:rsidP="004B4CB8">
            <w:pPr>
              <w:jc w:val="both"/>
              <w:rPr>
                <w:color w:val="000000"/>
              </w:rPr>
            </w:pPr>
            <w:r>
              <w:rPr>
                <w:color w:val="000000"/>
              </w:rPr>
              <w:t xml:space="preserve">I bambini </w:t>
            </w:r>
            <w:proofErr w:type="spellStart"/>
            <w:r>
              <w:rPr>
                <w:color w:val="000000"/>
              </w:rPr>
              <w:t>danno</w:t>
            </w:r>
            <w:proofErr w:type="spellEnd"/>
            <w:r>
              <w:rPr>
                <w:color w:val="000000"/>
              </w:rPr>
              <w:t xml:space="preserve"> </w:t>
            </w:r>
            <w:proofErr w:type="spellStart"/>
            <w:r>
              <w:rPr>
                <w:color w:val="000000"/>
              </w:rPr>
              <w:t>spesso</w:t>
            </w:r>
            <w:proofErr w:type="spellEnd"/>
            <w:r>
              <w:rPr>
                <w:color w:val="000000"/>
              </w:rPr>
              <w:t xml:space="preserve"> biscotti a Fido?</w:t>
            </w:r>
          </w:p>
        </w:tc>
      </w:tr>
      <w:tr w:rsidR="00D87087" w14:paraId="78AFB1EF" w14:textId="77777777" w:rsidTr="004B4CB8">
        <w:tc>
          <w:tcPr>
            <w:tcW w:w="496" w:type="dxa"/>
          </w:tcPr>
          <w:p w14:paraId="59DC8821" w14:textId="77777777" w:rsidR="00D87087" w:rsidRDefault="00D87087" w:rsidP="004B4CB8">
            <w:pPr>
              <w:spacing w:line="276" w:lineRule="auto"/>
              <w:jc w:val="both"/>
              <w:rPr>
                <w:color w:val="0070C0"/>
              </w:rPr>
            </w:pPr>
          </w:p>
        </w:tc>
        <w:tc>
          <w:tcPr>
            <w:tcW w:w="1200" w:type="dxa"/>
          </w:tcPr>
          <w:p w14:paraId="7C5F523F" w14:textId="77777777" w:rsidR="00D87087" w:rsidRDefault="00D87087" w:rsidP="004B4CB8">
            <w:pPr>
              <w:spacing w:line="276" w:lineRule="auto"/>
              <w:jc w:val="both"/>
              <w:rPr>
                <w:color w:val="0070C0"/>
              </w:rPr>
            </w:pPr>
          </w:p>
        </w:tc>
        <w:tc>
          <w:tcPr>
            <w:tcW w:w="7320" w:type="dxa"/>
          </w:tcPr>
          <w:p w14:paraId="6FE3292E" w14:textId="5D09F241" w:rsidR="00D87087" w:rsidRDefault="00D87087" w:rsidP="004B4CB8">
            <w:pPr>
              <w:spacing w:line="276" w:lineRule="auto"/>
              <w:jc w:val="both"/>
              <w:rPr>
                <w:color w:val="0070C0"/>
              </w:rPr>
            </w:pPr>
            <w:r>
              <w:rPr>
                <w:color w:val="0070C0"/>
              </w:rPr>
              <w:t>‘</w:t>
            </w:r>
            <w:r w:rsidR="00630075">
              <w:rPr>
                <w:color w:val="0070C0"/>
              </w:rPr>
              <w:t>Do the children give biscuits to Fido often?</w:t>
            </w:r>
            <w:r w:rsidR="008C44E1">
              <w:rPr>
                <w:color w:val="0070C0"/>
              </w:rPr>
              <w:t>’</w:t>
            </w:r>
          </w:p>
        </w:tc>
      </w:tr>
      <w:tr w:rsidR="00D87087" w14:paraId="2CDAD0C1" w14:textId="77777777" w:rsidTr="004B4CB8">
        <w:tc>
          <w:tcPr>
            <w:tcW w:w="496" w:type="dxa"/>
          </w:tcPr>
          <w:p w14:paraId="074A1125" w14:textId="77777777" w:rsidR="00D87087" w:rsidRDefault="00D87087" w:rsidP="004B4CB8">
            <w:pPr>
              <w:spacing w:line="276" w:lineRule="auto"/>
              <w:jc w:val="both"/>
              <w:rPr>
                <w:color w:val="0070C0"/>
              </w:rPr>
            </w:pPr>
          </w:p>
        </w:tc>
        <w:tc>
          <w:tcPr>
            <w:tcW w:w="1200" w:type="dxa"/>
          </w:tcPr>
          <w:p w14:paraId="3F805A89" w14:textId="77777777" w:rsidR="00D87087" w:rsidRDefault="00D87087" w:rsidP="004B4CB8">
            <w:pPr>
              <w:spacing w:line="276" w:lineRule="auto"/>
              <w:jc w:val="both"/>
              <w:rPr>
                <w:color w:val="0070C0"/>
              </w:rPr>
            </w:pPr>
            <w:r>
              <w:rPr>
                <w:color w:val="0070C0"/>
              </w:rPr>
              <w:t>Choice 1:</w:t>
            </w:r>
          </w:p>
        </w:tc>
        <w:tc>
          <w:tcPr>
            <w:tcW w:w="7320" w:type="dxa"/>
          </w:tcPr>
          <w:p w14:paraId="3A1E060C" w14:textId="6531A862" w:rsidR="00D87087" w:rsidRDefault="00630075" w:rsidP="004B4CB8">
            <w:pPr>
              <w:spacing w:line="276" w:lineRule="auto"/>
              <w:jc w:val="both"/>
              <w:rPr>
                <w:color w:val="0070C0"/>
              </w:rPr>
            </w:pPr>
            <w:r>
              <w:rPr>
                <w:color w:val="0070C0"/>
              </w:rPr>
              <w:t xml:space="preserve">Al </w:t>
            </w:r>
            <w:proofErr w:type="spellStart"/>
            <w:r>
              <w:rPr>
                <w:color w:val="0070C0"/>
              </w:rPr>
              <w:t>gatto</w:t>
            </w:r>
            <w:proofErr w:type="spellEnd"/>
            <w:r>
              <w:rPr>
                <w:color w:val="0070C0"/>
              </w:rPr>
              <w:t xml:space="preserve"> </w:t>
            </w:r>
            <w:proofErr w:type="spellStart"/>
            <w:r>
              <w:rPr>
                <w:color w:val="0070C0"/>
              </w:rPr>
              <w:t>danno</w:t>
            </w:r>
            <w:proofErr w:type="spellEnd"/>
            <w:r>
              <w:rPr>
                <w:color w:val="0070C0"/>
              </w:rPr>
              <w:t xml:space="preserve"> biscotti, non a Fido!</w:t>
            </w:r>
          </w:p>
        </w:tc>
      </w:tr>
      <w:tr w:rsidR="00D87087" w14:paraId="01555E5D" w14:textId="77777777" w:rsidTr="004B4CB8">
        <w:tc>
          <w:tcPr>
            <w:tcW w:w="496" w:type="dxa"/>
          </w:tcPr>
          <w:p w14:paraId="61874025" w14:textId="77777777" w:rsidR="00D87087" w:rsidRDefault="00D87087" w:rsidP="004B4CB8">
            <w:pPr>
              <w:spacing w:line="276" w:lineRule="auto"/>
              <w:jc w:val="both"/>
              <w:rPr>
                <w:color w:val="0070C0"/>
              </w:rPr>
            </w:pPr>
          </w:p>
        </w:tc>
        <w:tc>
          <w:tcPr>
            <w:tcW w:w="1200" w:type="dxa"/>
          </w:tcPr>
          <w:p w14:paraId="1CB4C8F3" w14:textId="77777777" w:rsidR="00D87087" w:rsidRDefault="00D87087" w:rsidP="004B4CB8">
            <w:pPr>
              <w:spacing w:line="276" w:lineRule="auto"/>
              <w:jc w:val="both"/>
              <w:rPr>
                <w:color w:val="0070C0"/>
              </w:rPr>
            </w:pPr>
          </w:p>
        </w:tc>
        <w:tc>
          <w:tcPr>
            <w:tcW w:w="7320" w:type="dxa"/>
          </w:tcPr>
          <w:p w14:paraId="5E8DCF44" w14:textId="34D40616" w:rsidR="00D87087" w:rsidRDefault="008C44E1" w:rsidP="004B4CB8">
            <w:pPr>
              <w:spacing w:line="276" w:lineRule="auto"/>
              <w:jc w:val="both"/>
              <w:rPr>
                <w:color w:val="0070C0"/>
              </w:rPr>
            </w:pPr>
            <w:r>
              <w:rPr>
                <w:color w:val="0070C0"/>
              </w:rPr>
              <w:t xml:space="preserve">Lit: </w:t>
            </w:r>
            <w:r w:rsidR="00D87087">
              <w:rPr>
                <w:color w:val="0070C0"/>
              </w:rPr>
              <w:t>‘</w:t>
            </w:r>
            <w:r w:rsidR="00630075">
              <w:rPr>
                <w:color w:val="0070C0"/>
              </w:rPr>
              <w:t>To the cat they give biscuits, not to Fido!</w:t>
            </w:r>
            <w:r w:rsidR="00D87087">
              <w:rPr>
                <w:color w:val="0070C0"/>
              </w:rPr>
              <w:t>’</w:t>
            </w:r>
          </w:p>
        </w:tc>
      </w:tr>
      <w:tr w:rsidR="00D87087" w14:paraId="5A76C203" w14:textId="77777777" w:rsidTr="004B4CB8">
        <w:tc>
          <w:tcPr>
            <w:tcW w:w="496" w:type="dxa"/>
          </w:tcPr>
          <w:p w14:paraId="4311D686" w14:textId="77777777" w:rsidR="00D87087" w:rsidRDefault="00D87087" w:rsidP="004B4CB8">
            <w:pPr>
              <w:spacing w:line="276" w:lineRule="auto"/>
              <w:jc w:val="both"/>
              <w:rPr>
                <w:color w:val="0070C0"/>
              </w:rPr>
            </w:pPr>
          </w:p>
        </w:tc>
        <w:tc>
          <w:tcPr>
            <w:tcW w:w="1200" w:type="dxa"/>
          </w:tcPr>
          <w:p w14:paraId="1E5FAA20" w14:textId="77777777" w:rsidR="00D87087" w:rsidRDefault="00D87087" w:rsidP="004B4CB8">
            <w:pPr>
              <w:spacing w:line="276" w:lineRule="auto"/>
              <w:jc w:val="both"/>
              <w:rPr>
                <w:color w:val="0070C0"/>
              </w:rPr>
            </w:pPr>
            <w:r>
              <w:rPr>
                <w:color w:val="0070C0"/>
              </w:rPr>
              <w:t>Choice 2:</w:t>
            </w:r>
          </w:p>
        </w:tc>
        <w:tc>
          <w:tcPr>
            <w:tcW w:w="7320" w:type="dxa"/>
          </w:tcPr>
          <w:p w14:paraId="570E4B97" w14:textId="0480FEBC" w:rsidR="00D87087" w:rsidRDefault="00630075" w:rsidP="004B4CB8">
            <w:pPr>
              <w:spacing w:line="276" w:lineRule="auto"/>
              <w:jc w:val="both"/>
              <w:rPr>
                <w:color w:val="0070C0"/>
              </w:rPr>
            </w:pPr>
            <w:proofErr w:type="spellStart"/>
            <w:r>
              <w:rPr>
                <w:color w:val="0070C0"/>
              </w:rPr>
              <w:t>Danno</w:t>
            </w:r>
            <w:proofErr w:type="spellEnd"/>
            <w:r>
              <w:rPr>
                <w:color w:val="0070C0"/>
              </w:rPr>
              <w:t xml:space="preserve"> biscotti al </w:t>
            </w:r>
            <w:proofErr w:type="spellStart"/>
            <w:r>
              <w:rPr>
                <w:color w:val="0070C0"/>
              </w:rPr>
              <w:t>gatto</w:t>
            </w:r>
            <w:proofErr w:type="spellEnd"/>
            <w:r>
              <w:rPr>
                <w:color w:val="0070C0"/>
              </w:rPr>
              <w:t>, non a Fido!</w:t>
            </w:r>
          </w:p>
        </w:tc>
      </w:tr>
      <w:tr w:rsidR="00D87087" w14:paraId="5EF5E8FA" w14:textId="77777777" w:rsidTr="004B4CB8">
        <w:tc>
          <w:tcPr>
            <w:tcW w:w="496" w:type="dxa"/>
          </w:tcPr>
          <w:p w14:paraId="18FDC4FC" w14:textId="77777777" w:rsidR="00D87087" w:rsidRDefault="00D87087" w:rsidP="004B4CB8">
            <w:pPr>
              <w:spacing w:line="276" w:lineRule="auto"/>
              <w:jc w:val="both"/>
              <w:rPr>
                <w:color w:val="0070C0"/>
              </w:rPr>
            </w:pPr>
          </w:p>
        </w:tc>
        <w:tc>
          <w:tcPr>
            <w:tcW w:w="1200" w:type="dxa"/>
          </w:tcPr>
          <w:p w14:paraId="5A7AAD7E" w14:textId="77777777" w:rsidR="00D87087" w:rsidRDefault="00D87087" w:rsidP="004B4CB8">
            <w:pPr>
              <w:spacing w:line="276" w:lineRule="auto"/>
              <w:jc w:val="both"/>
              <w:rPr>
                <w:color w:val="0070C0"/>
              </w:rPr>
            </w:pPr>
          </w:p>
        </w:tc>
        <w:tc>
          <w:tcPr>
            <w:tcW w:w="7320" w:type="dxa"/>
          </w:tcPr>
          <w:p w14:paraId="2F5EB296" w14:textId="0AEB3F49" w:rsidR="00D87087" w:rsidRDefault="00D87087" w:rsidP="004B4CB8">
            <w:pPr>
              <w:spacing w:line="276" w:lineRule="auto"/>
              <w:jc w:val="both"/>
              <w:rPr>
                <w:color w:val="0070C0"/>
              </w:rPr>
            </w:pPr>
            <w:r>
              <w:rPr>
                <w:color w:val="0070C0"/>
              </w:rPr>
              <w:t>‘</w:t>
            </w:r>
            <w:r w:rsidR="00630075">
              <w:rPr>
                <w:color w:val="0070C0"/>
              </w:rPr>
              <w:t>They give biscuits to the cat, not to Fido!</w:t>
            </w:r>
            <w:r>
              <w:rPr>
                <w:color w:val="0070C0"/>
              </w:rPr>
              <w:t>’</w:t>
            </w:r>
          </w:p>
        </w:tc>
      </w:tr>
      <w:tr w:rsidR="008C44E1" w14:paraId="0CE74E29" w14:textId="77777777" w:rsidTr="004B4CB8">
        <w:tc>
          <w:tcPr>
            <w:tcW w:w="496" w:type="dxa"/>
          </w:tcPr>
          <w:p w14:paraId="492B6E3E" w14:textId="77777777" w:rsidR="008C44E1" w:rsidRDefault="008C44E1" w:rsidP="004B4CB8">
            <w:pPr>
              <w:spacing w:line="276" w:lineRule="auto"/>
              <w:jc w:val="both"/>
              <w:rPr>
                <w:color w:val="0070C0"/>
              </w:rPr>
            </w:pPr>
          </w:p>
        </w:tc>
        <w:tc>
          <w:tcPr>
            <w:tcW w:w="1200" w:type="dxa"/>
          </w:tcPr>
          <w:p w14:paraId="223112A6" w14:textId="75AFBFA8" w:rsidR="008C44E1" w:rsidRDefault="008F6FC0" w:rsidP="004B4CB8">
            <w:pPr>
              <w:spacing w:line="276" w:lineRule="auto"/>
              <w:jc w:val="both"/>
              <w:rPr>
                <w:color w:val="0070C0"/>
              </w:rPr>
            </w:pPr>
            <w:r>
              <w:rPr>
                <w:color w:val="0070C0"/>
              </w:rPr>
              <w:t>Choice 3:</w:t>
            </w:r>
          </w:p>
        </w:tc>
        <w:tc>
          <w:tcPr>
            <w:tcW w:w="7320" w:type="dxa"/>
          </w:tcPr>
          <w:p w14:paraId="4FA520C7" w14:textId="7A56B125" w:rsidR="008C44E1" w:rsidRDefault="00630075" w:rsidP="004B4CB8">
            <w:pPr>
              <w:spacing w:line="276" w:lineRule="auto"/>
              <w:jc w:val="both"/>
              <w:rPr>
                <w:color w:val="0070C0"/>
              </w:rPr>
            </w:pPr>
            <w:proofErr w:type="spellStart"/>
            <w:r>
              <w:rPr>
                <w:color w:val="0070C0"/>
              </w:rPr>
              <w:t>Danno</w:t>
            </w:r>
            <w:proofErr w:type="spellEnd"/>
            <w:r>
              <w:rPr>
                <w:color w:val="0070C0"/>
              </w:rPr>
              <w:t xml:space="preserve"> al </w:t>
            </w:r>
            <w:proofErr w:type="spellStart"/>
            <w:r>
              <w:rPr>
                <w:color w:val="0070C0"/>
              </w:rPr>
              <w:t>gatto</w:t>
            </w:r>
            <w:proofErr w:type="spellEnd"/>
            <w:r>
              <w:rPr>
                <w:color w:val="0070C0"/>
              </w:rPr>
              <w:t xml:space="preserve"> biscotti, non a Fido!</w:t>
            </w:r>
          </w:p>
        </w:tc>
      </w:tr>
      <w:tr w:rsidR="008C44E1" w14:paraId="139BFAE7" w14:textId="77777777" w:rsidTr="004B4CB8">
        <w:tc>
          <w:tcPr>
            <w:tcW w:w="496" w:type="dxa"/>
          </w:tcPr>
          <w:p w14:paraId="3101DB6B" w14:textId="77777777" w:rsidR="008C44E1" w:rsidRDefault="008C44E1" w:rsidP="004B4CB8">
            <w:pPr>
              <w:spacing w:line="276" w:lineRule="auto"/>
              <w:jc w:val="both"/>
              <w:rPr>
                <w:color w:val="0070C0"/>
              </w:rPr>
            </w:pPr>
          </w:p>
        </w:tc>
        <w:tc>
          <w:tcPr>
            <w:tcW w:w="1200" w:type="dxa"/>
          </w:tcPr>
          <w:p w14:paraId="2F4B771B" w14:textId="77777777" w:rsidR="008C44E1" w:rsidRDefault="008C44E1" w:rsidP="004B4CB8">
            <w:pPr>
              <w:spacing w:line="276" w:lineRule="auto"/>
              <w:jc w:val="both"/>
              <w:rPr>
                <w:color w:val="0070C0"/>
              </w:rPr>
            </w:pPr>
          </w:p>
        </w:tc>
        <w:tc>
          <w:tcPr>
            <w:tcW w:w="7320" w:type="dxa"/>
          </w:tcPr>
          <w:p w14:paraId="7D251B79" w14:textId="68D54A46" w:rsidR="008C44E1" w:rsidRDefault="008C44E1" w:rsidP="004B4CB8">
            <w:pPr>
              <w:spacing w:line="276" w:lineRule="auto"/>
              <w:jc w:val="both"/>
              <w:rPr>
                <w:color w:val="0070C0"/>
              </w:rPr>
            </w:pPr>
            <w:r>
              <w:rPr>
                <w:color w:val="0070C0"/>
              </w:rPr>
              <w:t>Lit: ‘</w:t>
            </w:r>
            <w:r w:rsidR="00630075">
              <w:rPr>
                <w:color w:val="0070C0"/>
              </w:rPr>
              <w:t>They give to the cat biscuits, not to Fido</w:t>
            </w:r>
            <w:r>
              <w:rPr>
                <w:color w:val="0070C0"/>
              </w:rPr>
              <w:t>.’</w:t>
            </w:r>
          </w:p>
        </w:tc>
      </w:tr>
    </w:tbl>
    <w:p w14:paraId="3127D3A1" w14:textId="7AE85430" w:rsidR="0091372B" w:rsidRDefault="0091372B" w:rsidP="005B3415">
      <w:pPr>
        <w:spacing w:line="276" w:lineRule="auto"/>
        <w:jc w:val="both"/>
        <w:rPr>
          <w:b/>
          <w:bCs/>
          <w:color w:val="7030A0"/>
        </w:rPr>
      </w:pPr>
    </w:p>
    <w:p w14:paraId="3DF2B5DD" w14:textId="4664518F" w:rsidR="00C34F1E" w:rsidRPr="004B1A74" w:rsidRDefault="004B1A74" w:rsidP="004B1A74">
      <w:pPr>
        <w:spacing w:line="276" w:lineRule="auto"/>
        <w:jc w:val="both"/>
        <w:rPr>
          <w:b/>
          <w:bCs/>
          <w:color w:val="7030A0"/>
        </w:rPr>
      </w:pPr>
      <w:r w:rsidRPr="004B1A74">
        <w:rPr>
          <w:b/>
          <w:bCs/>
          <w:color w:val="7030A0"/>
        </w:rPr>
        <w:t>3.</w:t>
      </w:r>
      <w:r>
        <w:rPr>
          <w:b/>
          <w:bCs/>
          <w:color w:val="7030A0"/>
        </w:rPr>
        <w:t xml:space="preserve">3.1 </w:t>
      </w:r>
      <w:r w:rsidR="00C34F1E" w:rsidRPr="004B1A74">
        <w:rPr>
          <w:b/>
          <w:bCs/>
          <w:color w:val="7030A0"/>
        </w:rPr>
        <w:t>Results for this task</w:t>
      </w:r>
    </w:p>
    <w:p w14:paraId="04033951" w14:textId="1199BE15" w:rsidR="004B1A74" w:rsidRDefault="004B1A74" w:rsidP="004B1A74"/>
    <w:p w14:paraId="521DEB04" w14:textId="58136452" w:rsidR="004B1A74" w:rsidRDefault="004C5AE5" w:rsidP="004C5AE5">
      <w:pPr>
        <w:jc w:val="both"/>
      </w:pPr>
      <w:r>
        <w:t xml:space="preserve">The </w:t>
      </w:r>
      <w:proofErr w:type="spellStart"/>
      <w:r>
        <w:t>VIoDo</w:t>
      </w:r>
      <w:proofErr w:type="spellEnd"/>
      <w:r>
        <w:t xml:space="preserve"> ordering was never chosen by our informants, who had a clear preference for the unmarked </w:t>
      </w:r>
      <w:proofErr w:type="spellStart"/>
      <w:r>
        <w:t>VDoIo</w:t>
      </w:r>
      <w:proofErr w:type="spellEnd"/>
      <w:r>
        <w:t xml:space="preserve"> ordering in both conditions (72% of cases in contrastive focalisations and 82% in corrective</w:t>
      </w:r>
      <w:r w:rsidRPr="004C5AE5">
        <w:t xml:space="preserve"> </w:t>
      </w:r>
      <w:r>
        <w:t>focalisations</w:t>
      </w:r>
      <w:r>
        <w:t>) and chose the total fronting of the IO (</w:t>
      </w:r>
      <w:proofErr w:type="spellStart"/>
      <w:r>
        <w:t>IoVDo</w:t>
      </w:r>
      <w:proofErr w:type="spellEnd"/>
      <w:r>
        <w:t>) only in a minority of cases (28% and 18%, respectively).</w:t>
      </w:r>
      <w:r w:rsidR="003B5A0E">
        <w:t xml:space="preserve"> Nonetheless, the fact that focus shifting is allowed for some speakers also in corrective foci makes Regional Italian different from the standard variety in this respect.</w:t>
      </w:r>
    </w:p>
    <w:p w14:paraId="6FE4BDDD" w14:textId="27160ECD" w:rsidR="003B5A0E" w:rsidRDefault="003B5A0E" w:rsidP="00EC7194">
      <w:pPr>
        <w:jc w:val="both"/>
      </w:pPr>
      <w:r>
        <w:tab/>
        <w:t xml:space="preserve">Geographically, macro-areas are </w:t>
      </w:r>
      <w:r w:rsidR="00B77551">
        <w:t xml:space="preserve">quite </w:t>
      </w:r>
      <w:r>
        <w:t>effective for the prediction of significant differences in the choice between contrastive and corrective focus shifting vs. in situ</w:t>
      </w:r>
      <w:r w:rsidR="00B77551">
        <w:t xml:space="preserve">, given that 77% of all occurrences of </w:t>
      </w:r>
      <w:proofErr w:type="spellStart"/>
      <w:r w:rsidR="00B77551">
        <w:t>IoVDo</w:t>
      </w:r>
      <w:proofErr w:type="spellEnd"/>
      <w:r w:rsidR="00B77551">
        <w:t xml:space="preserve"> orderings in corrective and 68% in contrastive</w:t>
      </w:r>
      <w:r w:rsidR="00B77551">
        <w:t xml:space="preserve"> focalisations</w:t>
      </w:r>
      <w:r w:rsidR="00B77551">
        <w:t xml:space="preserve"> were selected by Southern speakers</w:t>
      </w:r>
      <w:r>
        <w:t xml:space="preserve">. </w:t>
      </w:r>
      <w:r w:rsidR="00B77551">
        <w:t xml:space="preserve">At the level of micro-areas, focus shifting systematically obtained bigger acceptance rates with contrastive foci, although fronted corrective foci were accepted by all speakers excepted those from transitional areas. Interestingly, a grouping of transitional areas with Southern areas was proven non-significant for this task, as the most significant numbers of frontings are observed for Wider Neapolitan and Deep Southern speakers. </w:t>
      </w:r>
      <w:r w:rsidR="00275370">
        <w:t xml:space="preserve">In corrective focalisations, </w:t>
      </w:r>
      <w:proofErr w:type="spellStart"/>
      <w:r w:rsidR="00275370">
        <w:t>IoVDo</w:t>
      </w:r>
      <w:proofErr w:type="spellEnd"/>
      <w:r w:rsidR="00275370">
        <w:t xml:space="preserve"> </w:t>
      </w:r>
      <w:proofErr w:type="spellStart"/>
      <w:r w:rsidR="00275370">
        <w:t>shiftings</w:t>
      </w:r>
      <w:proofErr w:type="spellEnd"/>
      <w:r w:rsidR="00275370">
        <w:t xml:space="preserve"> were indeed selected in 33% of cases by Wider Neapolitan speakers, and in 58% of cases by Deep Southern speakers, while in contrastive focalisations the total occurrences of shifting were as high as 53% and 56%, respectively. </w:t>
      </w:r>
    </w:p>
    <w:p w14:paraId="32AA4858" w14:textId="7DD07A6B" w:rsidR="00275370" w:rsidRPr="004B1A74" w:rsidRDefault="00275370" w:rsidP="004C5AE5">
      <w:pPr>
        <w:jc w:val="both"/>
      </w:pPr>
      <w:r>
        <w:tab/>
        <w:t>This task therefore highlighted three important points: (a) that focus shifting is not excluded in corrective contexts in Regional Italian; (b) that focus shifting (both contrastive and corrective) is accepted throughout the peninsula, although (c) it is preferred significantly by Wider Neapolitan and Deep Southern speakers.</w:t>
      </w:r>
      <w:r w:rsidR="007171CB">
        <w:t xml:space="preserve"> We will discuss these further when we analyse the data from the third task of Part II.</w:t>
      </w:r>
    </w:p>
    <w:p w14:paraId="7DDD773B" w14:textId="77777777" w:rsidR="00D87087" w:rsidRDefault="00D87087"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lastRenderedPageBreak/>
        <w:t>4.</w:t>
      </w:r>
      <w:r>
        <w:rPr>
          <w:b/>
          <w:bCs/>
          <w:color w:val="7030A0"/>
        </w:rPr>
        <w:tab/>
        <w:t>The Survey: PART 2</w:t>
      </w:r>
    </w:p>
    <w:p w14:paraId="5C1C8D69" w14:textId="66A24352" w:rsidR="00605380" w:rsidRDefault="00605380" w:rsidP="005B3415">
      <w:pPr>
        <w:spacing w:line="276" w:lineRule="auto"/>
        <w:jc w:val="both"/>
        <w:rPr>
          <w:b/>
          <w:bCs/>
          <w:color w:val="7030A0"/>
        </w:rPr>
      </w:pPr>
    </w:p>
    <w:p w14:paraId="79FD7F58" w14:textId="4490A7DC" w:rsidR="00630075" w:rsidRDefault="00DC6E80" w:rsidP="005B3415">
      <w:pPr>
        <w:spacing w:line="276" w:lineRule="auto"/>
        <w:jc w:val="both"/>
        <w:rPr>
          <w:b/>
          <w:bCs/>
          <w:color w:val="7030A0"/>
        </w:rPr>
      </w:pPr>
      <w:r>
        <w:rPr>
          <w:b/>
          <w:bCs/>
          <w:color w:val="7030A0"/>
        </w:rPr>
        <w:t>4.1</w:t>
      </w:r>
      <w:r>
        <w:rPr>
          <w:b/>
          <w:bCs/>
          <w:color w:val="7030A0"/>
        </w:rPr>
        <w:tab/>
        <w:t xml:space="preserve">Orderings in answers to </w:t>
      </w:r>
      <w:proofErr w:type="spellStart"/>
      <w:r>
        <w:rPr>
          <w:b/>
          <w:bCs/>
          <w:color w:val="7030A0"/>
        </w:rPr>
        <w:t>wh</w:t>
      </w:r>
      <w:proofErr w:type="spellEnd"/>
      <w:r>
        <w:rPr>
          <w:b/>
          <w:bCs/>
          <w:color w:val="7030A0"/>
        </w:rPr>
        <w:t>-questions</w:t>
      </w:r>
    </w:p>
    <w:p w14:paraId="7C847E2E" w14:textId="01E9B40F" w:rsidR="00DC6E80" w:rsidRDefault="00DC6E80" w:rsidP="005B3415">
      <w:pPr>
        <w:spacing w:line="276" w:lineRule="auto"/>
        <w:jc w:val="both"/>
        <w:rPr>
          <w:b/>
          <w:bCs/>
          <w:color w:val="7030A0"/>
        </w:rPr>
      </w:pPr>
    </w:p>
    <w:p w14:paraId="7DAD54F9" w14:textId="1DE9ECEA" w:rsidR="00DC6E80" w:rsidRDefault="00DC6E80" w:rsidP="005B3415">
      <w:pPr>
        <w:spacing w:line="276" w:lineRule="auto"/>
        <w:jc w:val="both"/>
        <w:rPr>
          <w:b/>
          <w:bCs/>
          <w:color w:val="7030A0"/>
        </w:rPr>
      </w:pPr>
      <w:r>
        <w:rPr>
          <w:b/>
          <w:bCs/>
          <w:color w:val="7030A0"/>
        </w:rPr>
        <w:t>4.2</w:t>
      </w:r>
      <w:r>
        <w:rPr>
          <w:b/>
          <w:bCs/>
          <w:color w:val="7030A0"/>
        </w:rPr>
        <w:tab/>
      </w:r>
      <w:r w:rsidR="00160CC9">
        <w:rPr>
          <w:b/>
          <w:bCs/>
          <w:color w:val="7030A0"/>
        </w:rPr>
        <w:t>‘Inferred’ i</w:t>
      </w:r>
      <w:r>
        <w:rPr>
          <w:b/>
          <w:bCs/>
          <w:color w:val="7030A0"/>
        </w:rPr>
        <w:t>nformational orderings</w:t>
      </w:r>
    </w:p>
    <w:p w14:paraId="25FC44AA" w14:textId="59E2E98D" w:rsidR="00DC6E80" w:rsidRDefault="00DC6E80" w:rsidP="005B3415">
      <w:pPr>
        <w:spacing w:line="276" w:lineRule="auto"/>
        <w:jc w:val="both"/>
        <w:rPr>
          <w:b/>
          <w:bCs/>
          <w:color w:val="7030A0"/>
        </w:rPr>
      </w:pPr>
    </w:p>
    <w:p w14:paraId="71269E1C" w14:textId="35D07E61" w:rsidR="00DC6E80" w:rsidRDefault="00DC6E80" w:rsidP="005B3415">
      <w:pPr>
        <w:spacing w:line="276" w:lineRule="auto"/>
        <w:jc w:val="both"/>
        <w:rPr>
          <w:b/>
          <w:bCs/>
          <w:color w:val="7030A0"/>
        </w:rPr>
      </w:pPr>
      <w:r>
        <w:rPr>
          <w:b/>
          <w:bCs/>
          <w:color w:val="7030A0"/>
        </w:rPr>
        <w:t>4.3</w:t>
      </w:r>
      <w:r>
        <w:rPr>
          <w:b/>
          <w:bCs/>
          <w:color w:val="7030A0"/>
        </w:rPr>
        <w:tab/>
        <w:t>A deeper look at contrastive and corrective focalisations</w:t>
      </w:r>
    </w:p>
    <w:p w14:paraId="07D5C179" w14:textId="77777777" w:rsidR="00630075" w:rsidRDefault="00630075"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BF52" w14:textId="77777777" w:rsidR="0082688A" w:rsidRDefault="0082688A" w:rsidP="004D3C37">
      <w:r>
        <w:separator/>
      </w:r>
    </w:p>
  </w:endnote>
  <w:endnote w:type="continuationSeparator" w:id="0">
    <w:p w14:paraId="3B68154C" w14:textId="77777777" w:rsidR="0082688A" w:rsidRDefault="0082688A"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E4F83" w14:textId="77777777" w:rsidR="0082688A" w:rsidRDefault="0082688A" w:rsidP="004D3C37">
      <w:r>
        <w:separator/>
      </w:r>
    </w:p>
  </w:footnote>
  <w:footnote w:type="continuationSeparator" w:id="0">
    <w:p w14:paraId="11F50394" w14:textId="77777777" w:rsidR="0082688A" w:rsidRDefault="0082688A"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7A4CAA60"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02C8"/>
    <w:rsid w:val="00021489"/>
    <w:rsid w:val="00021A24"/>
    <w:rsid w:val="00024B4C"/>
    <w:rsid w:val="00027A89"/>
    <w:rsid w:val="000304E1"/>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D66CF"/>
    <w:rsid w:val="000E14BA"/>
    <w:rsid w:val="000E2061"/>
    <w:rsid w:val="000E44AD"/>
    <w:rsid w:val="000E7AE9"/>
    <w:rsid w:val="00103076"/>
    <w:rsid w:val="00103AB5"/>
    <w:rsid w:val="00106915"/>
    <w:rsid w:val="001203C8"/>
    <w:rsid w:val="00122B2C"/>
    <w:rsid w:val="00122BD8"/>
    <w:rsid w:val="00125CD6"/>
    <w:rsid w:val="00127CBD"/>
    <w:rsid w:val="0014601A"/>
    <w:rsid w:val="00146692"/>
    <w:rsid w:val="001476EB"/>
    <w:rsid w:val="0015480C"/>
    <w:rsid w:val="00160856"/>
    <w:rsid w:val="00160CC9"/>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3EF"/>
    <w:rsid w:val="0021567B"/>
    <w:rsid w:val="00233DD1"/>
    <w:rsid w:val="0023475C"/>
    <w:rsid w:val="002348BC"/>
    <w:rsid w:val="0024256D"/>
    <w:rsid w:val="0025087E"/>
    <w:rsid w:val="00266207"/>
    <w:rsid w:val="00266403"/>
    <w:rsid w:val="002711F7"/>
    <w:rsid w:val="002715AD"/>
    <w:rsid w:val="0027281E"/>
    <w:rsid w:val="00275370"/>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09B3"/>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5485"/>
    <w:rsid w:val="003973AD"/>
    <w:rsid w:val="003A24FF"/>
    <w:rsid w:val="003A6AD3"/>
    <w:rsid w:val="003A7A72"/>
    <w:rsid w:val="003A7B3F"/>
    <w:rsid w:val="003B0FA8"/>
    <w:rsid w:val="003B5A0E"/>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17FA"/>
    <w:rsid w:val="00437405"/>
    <w:rsid w:val="00443769"/>
    <w:rsid w:val="00445765"/>
    <w:rsid w:val="00446501"/>
    <w:rsid w:val="00450A50"/>
    <w:rsid w:val="0045223B"/>
    <w:rsid w:val="00457CC7"/>
    <w:rsid w:val="00461E91"/>
    <w:rsid w:val="004729D6"/>
    <w:rsid w:val="00474043"/>
    <w:rsid w:val="00477298"/>
    <w:rsid w:val="00490593"/>
    <w:rsid w:val="00490DE0"/>
    <w:rsid w:val="0049265D"/>
    <w:rsid w:val="00492C12"/>
    <w:rsid w:val="00497E84"/>
    <w:rsid w:val="004A3FB3"/>
    <w:rsid w:val="004A52EC"/>
    <w:rsid w:val="004A7FAF"/>
    <w:rsid w:val="004B1A74"/>
    <w:rsid w:val="004B3820"/>
    <w:rsid w:val="004C45E0"/>
    <w:rsid w:val="004C5A9B"/>
    <w:rsid w:val="004C5AE5"/>
    <w:rsid w:val="004C5C79"/>
    <w:rsid w:val="004D270C"/>
    <w:rsid w:val="004D2F47"/>
    <w:rsid w:val="004D3C37"/>
    <w:rsid w:val="004D739D"/>
    <w:rsid w:val="004E01FB"/>
    <w:rsid w:val="004E23ED"/>
    <w:rsid w:val="004E405F"/>
    <w:rsid w:val="004E64E8"/>
    <w:rsid w:val="004E67E8"/>
    <w:rsid w:val="004E6950"/>
    <w:rsid w:val="004E787D"/>
    <w:rsid w:val="004F3223"/>
    <w:rsid w:val="004F7ECA"/>
    <w:rsid w:val="00512E4E"/>
    <w:rsid w:val="00514CB6"/>
    <w:rsid w:val="00530B14"/>
    <w:rsid w:val="00532046"/>
    <w:rsid w:val="0054006E"/>
    <w:rsid w:val="00542568"/>
    <w:rsid w:val="005432FE"/>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B7AE1"/>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498"/>
    <w:rsid w:val="00615CBC"/>
    <w:rsid w:val="006237DB"/>
    <w:rsid w:val="00630075"/>
    <w:rsid w:val="006336D7"/>
    <w:rsid w:val="006344A5"/>
    <w:rsid w:val="0063467B"/>
    <w:rsid w:val="00643B1B"/>
    <w:rsid w:val="0065037E"/>
    <w:rsid w:val="00653C78"/>
    <w:rsid w:val="006622E2"/>
    <w:rsid w:val="00666D93"/>
    <w:rsid w:val="00681A72"/>
    <w:rsid w:val="00681CF6"/>
    <w:rsid w:val="00686F8C"/>
    <w:rsid w:val="00695637"/>
    <w:rsid w:val="00696058"/>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171CB"/>
    <w:rsid w:val="00721BD7"/>
    <w:rsid w:val="00725749"/>
    <w:rsid w:val="00725B7C"/>
    <w:rsid w:val="00725CF7"/>
    <w:rsid w:val="00727698"/>
    <w:rsid w:val="00734A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3B"/>
    <w:rsid w:val="007A0262"/>
    <w:rsid w:val="007A1BD3"/>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688A"/>
    <w:rsid w:val="008277F5"/>
    <w:rsid w:val="0083299C"/>
    <w:rsid w:val="00837FE6"/>
    <w:rsid w:val="0084122C"/>
    <w:rsid w:val="008455E3"/>
    <w:rsid w:val="008566A8"/>
    <w:rsid w:val="008606FE"/>
    <w:rsid w:val="0086100F"/>
    <w:rsid w:val="008638D0"/>
    <w:rsid w:val="00871FD4"/>
    <w:rsid w:val="0088082A"/>
    <w:rsid w:val="00881626"/>
    <w:rsid w:val="008838DC"/>
    <w:rsid w:val="0088678F"/>
    <w:rsid w:val="00887E43"/>
    <w:rsid w:val="008947A8"/>
    <w:rsid w:val="00895D19"/>
    <w:rsid w:val="008B1FFB"/>
    <w:rsid w:val="008B475C"/>
    <w:rsid w:val="008C15B7"/>
    <w:rsid w:val="008C16E9"/>
    <w:rsid w:val="008C44E1"/>
    <w:rsid w:val="008D2DAE"/>
    <w:rsid w:val="008D7F70"/>
    <w:rsid w:val="008E0DE7"/>
    <w:rsid w:val="008E3E48"/>
    <w:rsid w:val="008E7A47"/>
    <w:rsid w:val="008E7C29"/>
    <w:rsid w:val="008F00B4"/>
    <w:rsid w:val="008F6FC0"/>
    <w:rsid w:val="0090783C"/>
    <w:rsid w:val="0091372B"/>
    <w:rsid w:val="00913EBD"/>
    <w:rsid w:val="00913ED6"/>
    <w:rsid w:val="0091567F"/>
    <w:rsid w:val="00921088"/>
    <w:rsid w:val="00930154"/>
    <w:rsid w:val="009309D8"/>
    <w:rsid w:val="00930F71"/>
    <w:rsid w:val="0093145C"/>
    <w:rsid w:val="00933ED4"/>
    <w:rsid w:val="00941E83"/>
    <w:rsid w:val="009530A6"/>
    <w:rsid w:val="0095431C"/>
    <w:rsid w:val="00954861"/>
    <w:rsid w:val="00955F8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C7C09"/>
    <w:rsid w:val="009D4520"/>
    <w:rsid w:val="009D6600"/>
    <w:rsid w:val="009E0688"/>
    <w:rsid w:val="009E2208"/>
    <w:rsid w:val="009E2BAA"/>
    <w:rsid w:val="009E57F6"/>
    <w:rsid w:val="009E61F7"/>
    <w:rsid w:val="009E763D"/>
    <w:rsid w:val="009F6274"/>
    <w:rsid w:val="009F6BF3"/>
    <w:rsid w:val="00A00419"/>
    <w:rsid w:val="00A02D14"/>
    <w:rsid w:val="00A165B1"/>
    <w:rsid w:val="00A16D34"/>
    <w:rsid w:val="00A26C26"/>
    <w:rsid w:val="00A31E89"/>
    <w:rsid w:val="00A525AD"/>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77551"/>
    <w:rsid w:val="00B80DBF"/>
    <w:rsid w:val="00B8422F"/>
    <w:rsid w:val="00B9049D"/>
    <w:rsid w:val="00B93B37"/>
    <w:rsid w:val="00B94256"/>
    <w:rsid w:val="00B97258"/>
    <w:rsid w:val="00BA5822"/>
    <w:rsid w:val="00BB48AF"/>
    <w:rsid w:val="00BB6071"/>
    <w:rsid w:val="00BC1415"/>
    <w:rsid w:val="00BC21CE"/>
    <w:rsid w:val="00C05E38"/>
    <w:rsid w:val="00C1168C"/>
    <w:rsid w:val="00C11BFC"/>
    <w:rsid w:val="00C128F2"/>
    <w:rsid w:val="00C15592"/>
    <w:rsid w:val="00C23632"/>
    <w:rsid w:val="00C2509F"/>
    <w:rsid w:val="00C30F42"/>
    <w:rsid w:val="00C34F1E"/>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35610"/>
    <w:rsid w:val="00D568D5"/>
    <w:rsid w:val="00D61B52"/>
    <w:rsid w:val="00D80A0F"/>
    <w:rsid w:val="00D8600B"/>
    <w:rsid w:val="00D8605B"/>
    <w:rsid w:val="00D86291"/>
    <w:rsid w:val="00D87087"/>
    <w:rsid w:val="00D93750"/>
    <w:rsid w:val="00D95BB6"/>
    <w:rsid w:val="00D969BC"/>
    <w:rsid w:val="00D972BA"/>
    <w:rsid w:val="00DA7813"/>
    <w:rsid w:val="00DB1779"/>
    <w:rsid w:val="00DB21DC"/>
    <w:rsid w:val="00DB7BC1"/>
    <w:rsid w:val="00DC1274"/>
    <w:rsid w:val="00DC13FC"/>
    <w:rsid w:val="00DC6E80"/>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0C71"/>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C7194"/>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42"/>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13</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564</cp:revision>
  <dcterms:created xsi:type="dcterms:W3CDTF">2022-03-29T12:24:00Z</dcterms:created>
  <dcterms:modified xsi:type="dcterms:W3CDTF">2022-11-28T14:24:00Z</dcterms:modified>
</cp:coreProperties>
</file>