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w:t>
            </w:r>
            <w:proofErr w:type="gramStart"/>
            <w:r w:rsidRPr="00213F5A">
              <w:rPr>
                <w:lang w:val="it-IT"/>
              </w:rPr>
              <w:t>Gianni)/</w:t>
            </w:r>
            <w:proofErr w:type="spellStart"/>
            <w:proofErr w:type="gramEnd"/>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 xml:space="preserve">do not display productive clefting while the varieties </w:t>
      </w:r>
      <w:proofErr w:type="gramStart"/>
      <w:r w:rsidR="0021567B">
        <w:t>with in</w:t>
      </w:r>
      <w:proofErr w:type="gramEnd"/>
      <w:r w:rsidR="0021567B">
        <w:t xml:space="preserve">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w:t>
      </w:r>
      <w:proofErr w:type="gramStart"/>
      <w:r>
        <w:t>aforementioned works</w:t>
      </w:r>
      <w:proofErr w:type="gramEnd"/>
      <w:r>
        <w:t xml:space="preserve">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proofErr w:type="gramStart"/>
      <w:r w:rsidR="00446501">
        <w:t xml:space="preserve">actually </w:t>
      </w:r>
      <w:r w:rsidR="00050D10">
        <w:t>void</w:t>
      </w:r>
      <w:proofErr w:type="gramEnd"/>
      <w:r w:rsidR="00050D10">
        <w:t xml:space="preserve">,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proofErr w:type="gramStart"/>
            <w:r>
              <w:t>will.have</w:t>
            </w:r>
            <w:proofErr w:type="spellEnd"/>
            <w:proofErr w:type="gram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w:t>
      </w:r>
      <w:proofErr w:type="gramStart"/>
      <w:r w:rsidR="00D17481">
        <w:t>clefting</w:t>
      </w:r>
      <w:proofErr w:type="gramEnd"/>
      <w:r w:rsidR="00D17481">
        <w:t xml:space="preserve">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w:t>
      </w:r>
      <w:proofErr w:type="gramStart"/>
      <w:r w:rsidR="002E3501">
        <w:rPr>
          <w:color w:val="7030A0"/>
        </w:rPr>
        <w:t>prosodically-marked</w:t>
      </w:r>
      <w:proofErr w:type="gramEnd"/>
      <w:r w:rsidR="002E3501">
        <w:rPr>
          <w:color w:val="7030A0"/>
        </w:rPr>
        <w:t xml:space="preserve">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in an utterance that does not constitute the answer to a question</w:t>
      </w:r>
      <w:proofErr w:type="gramStart"/>
      <w:r w:rsidR="009B53EE" w:rsidRPr="00590AA6">
        <w:rPr>
          <w:color w:val="0070C0"/>
        </w:rPr>
        <w:t xml:space="preserve">), </w:t>
      </w:r>
      <w:r w:rsidR="00390C6E" w:rsidRPr="00590AA6">
        <w:rPr>
          <w:color w:val="0070C0"/>
        </w:rPr>
        <w:t>and</w:t>
      </w:r>
      <w:proofErr w:type="gramEnd"/>
      <w:r w:rsidR="00390C6E" w:rsidRPr="00590AA6">
        <w:rPr>
          <w:color w:val="0070C0"/>
        </w:rPr>
        <w:t xml:space="preserve">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the informants have a clear preference between cleft and non-cleft </w:t>
      </w:r>
      <w:proofErr w:type="gramStart"/>
      <w:r w:rsidRPr="004E405F">
        <w:rPr>
          <w:rFonts w:ascii="Times New Roman" w:hAnsi="Times New Roman" w:cs="Times New Roman"/>
          <w:color w:val="0070C0"/>
        </w:rPr>
        <w:t>questions;</w:t>
      </w:r>
      <w:proofErr w:type="gramEnd"/>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i/>
          <w:iCs/>
          <w:color w:val="0070C0"/>
        </w:rPr>
        <w:t>out-of-the-context</w:t>
      </w:r>
      <w:r w:rsidRPr="004E405F">
        <w:rPr>
          <w:rFonts w:ascii="Times New Roman" w:hAnsi="Times New Roman" w:cs="Times New Roman"/>
          <w:color w:val="0070C0"/>
        </w:rPr>
        <w:t xml:space="preserve"> informational </w:t>
      </w:r>
      <w:proofErr w:type="gramStart"/>
      <w:r w:rsidRPr="004E405F">
        <w:rPr>
          <w:rFonts w:ascii="Times New Roman" w:hAnsi="Times New Roman" w:cs="Times New Roman"/>
          <w:color w:val="0070C0"/>
        </w:rPr>
        <w:t>contexts;</w:t>
      </w:r>
      <w:proofErr w:type="gramEnd"/>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w:t>
      </w:r>
      <w:proofErr w:type="gramStart"/>
      <w:r w:rsidR="00E94325" w:rsidRPr="004E405F">
        <w:rPr>
          <w:rFonts w:ascii="Times New Roman" w:hAnsi="Times New Roman" w:cs="Times New Roman"/>
          <w:color w:val="0070C0"/>
        </w:rPr>
        <w:t>clefted</w:t>
      </w:r>
      <w:r w:rsidRPr="004E405F">
        <w:rPr>
          <w:rFonts w:ascii="Times New Roman" w:hAnsi="Times New Roman" w:cs="Times New Roman"/>
          <w:color w:val="0070C0"/>
        </w:rPr>
        <w:t>;</w:t>
      </w:r>
      <w:proofErr w:type="gramEnd"/>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w:t>
      </w:r>
      <w:proofErr w:type="gramStart"/>
      <w:r w:rsidR="003859EB" w:rsidRPr="004E405F">
        <w:rPr>
          <w:rFonts w:ascii="Times New Roman" w:hAnsi="Times New Roman" w:cs="Times New Roman"/>
          <w:color w:val="0070C0"/>
        </w:rPr>
        <w:t>utterance;</w:t>
      </w:r>
      <w:proofErr w:type="gramEnd"/>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corrective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proofErr w:type="gramStart"/>
      <w:r w:rsidRPr="004E405F">
        <w:rPr>
          <w:rFonts w:ascii="Times New Roman" w:hAnsi="Times New Roman" w:cs="Times New Roman"/>
          <w:color w:val="0070C0"/>
        </w:rPr>
        <w:t>);</w:t>
      </w:r>
      <w:proofErr w:type="gramEnd"/>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proofErr w:type="gramStart"/>
      <w:r w:rsidRPr="004E405F">
        <w:rPr>
          <w:rFonts w:ascii="Times New Roman" w:hAnsi="Times New Roman" w:cs="Times New Roman"/>
          <w:color w:val="0070C0"/>
        </w:rPr>
        <w:t>);</w:t>
      </w:r>
      <w:proofErr w:type="gramEnd"/>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roofErr w:type="gramStart"/>
      <w:r>
        <w:rPr>
          <w:rFonts w:ascii="Times New Roman" w:hAnsi="Times New Roman" w:cs="Times New Roman"/>
          <w:color w:val="44546A" w:themeColor="text2"/>
        </w:rPr>
        <w:t>);</w:t>
      </w:r>
      <w:proofErr w:type="gramEnd"/>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surnames and first names, given that the speakers of certain regions require these to be preceded by a definite article (</w:t>
      </w:r>
      <w:proofErr w:type="gramStart"/>
      <w:r>
        <w:rPr>
          <w:rFonts w:ascii="Times New Roman" w:hAnsi="Times New Roman" w:cs="Times New Roman"/>
          <w:color w:val="44546A" w:themeColor="text2"/>
        </w:rPr>
        <w:t>e.g.</w:t>
      </w:r>
      <w:proofErr w:type="gramEnd"/>
      <w:r>
        <w:rPr>
          <w:rFonts w:ascii="Times New Roman" w:hAnsi="Times New Roman" w:cs="Times New Roman"/>
          <w:color w:val="44546A" w:themeColor="text2"/>
        </w:rPr>
        <w:t xml:space="preserve">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w:t>
      </w:r>
      <w:proofErr w:type="gramStart"/>
      <w:r w:rsidR="00EC6A1D">
        <w:rPr>
          <w:color w:val="0070C0"/>
        </w:rPr>
        <w:t>Neapolitan</w:t>
      </w:r>
      <w:proofErr w:type="gramEnd"/>
      <w:r w:rsidR="00EC6A1D">
        <w:rPr>
          <w:color w:val="0070C0"/>
        </w:rPr>
        <w:t xml:space="preserve">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w:t>
      </w:r>
      <w:proofErr w:type="gramStart"/>
      <w:r w:rsidR="00D86291">
        <w:rPr>
          <w:color w:val="0070C0"/>
        </w:rPr>
        <w:t>Neapolitan</w:t>
      </w:r>
      <w:proofErr w:type="gramEnd"/>
      <w:r w:rsidR="00D86291">
        <w:rPr>
          <w:color w:val="0070C0"/>
        </w:rPr>
        <w:t xml:space="preserve">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51102D4A" w14:textId="0F50D3CC" w:rsidR="00542568" w:rsidRPr="001857F0" w:rsidRDefault="00014B27" w:rsidP="00420441">
      <w:pPr>
        <w:spacing w:line="276" w:lineRule="auto"/>
        <w:jc w:val="both"/>
        <w:rPr>
          <w:color w:val="70AD47" w:themeColor="accent6"/>
        </w:rPr>
      </w:pPr>
      <w:r w:rsidRPr="001857F0">
        <w:rPr>
          <w:color w:val="70AD47" w:themeColor="accent6"/>
        </w:rPr>
        <w:t xml:space="preserve">Out-of-the-blue informational </w:t>
      </w:r>
      <w:r w:rsidR="00803FFD" w:rsidRPr="001857F0">
        <w:rPr>
          <w:color w:val="70AD47" w:themeColor="accent6"/>
        </w:rPr>
        <w:t xml:space="preserve">utterances systematically exclude the use of clefting, whence the choice to </w:t>
      </w:r>
      <w:r w:rsidR="001857F0" w:rsidRPr="001857F0">
        <w:rPr>
          <w:color w:val="70AD47" w:themeColor="accent6"/>
        </w:rPr>
        <w:t xml:space="preserve">merely </w:t>
      </w:r>
      <w:r w:rsidR="00443769" w:rsidRPr="001857F0">
        <w:rPr>
          <w:color w:val="70AD47" w:themeColor="accent6"/>
        </w:rPr>
        <w:t xml:space="preserve">test </w:t>
      </w:r>
      <w:r w:rsidR="001857F0" w:rsidRPr="001857F0">
        <w:rPr>
          <w:color w:val="70AD47" w:themeColor="accent6"/>
        </w:rPr>
        <w:t xml:space="preserve">non-cleft </w:t>
      </w:r>
      <w:r w:rsidR="00443769" w:rsidRPr="001857F0">
        <w:rPr>
          <w:color w:val="70AD47" w:themeColor="accent6"/>
        </w:rPr>
        <w:t xml:space="preserve">word orderings to assess whether </w:t>
      </w:r>
      <w:r w:rsidR="00B9049D" w:rsidRPr="001857F0">
        <w:rPr>
          <w:color w:val="70AD47" w:themeColor="accent6"/>
        </w:rPr>
        <w:t>certain speakers</w:t>
      </w:r>
      <w:r w:rsidR="00542568" w:rsidRPr="001857F0">
        <w:rPr>
          <w:color w:val="70AD47" w:themeColor="accent6"/>
        </w:rPr>
        <w:t xml:space="preserve"> may accept </w:t>
      </w:r>
      <w:r w:rsidR="00B9049D" w:rsidRPr="001857F0">
        <w:rPr>
          <w:color w:val="70AD47" w:themeColor="accent6"/>
        </w:rPr>
        <w:t>shift</w:t>
      </w:r>
      <w:r w:rsidR="00542568" w:rsidRPr="001857F0">
        <w:rPr>
          <w:color w:val="70AD47" w:themeColor="accent6"/>
        </w:rPr>
        <w:t>ing</w:t>
      </w:r>
      <w:r w:rsidR="00B9049D" w:rsidRPr="001857F0">
        <w:rPr>
          <w:color w:val="70AD47" w:themeColor="accent6"/>
        </w:rPr>
        <w:t xml:space="preserve"> relevant constituents</w:t>
      </w:r>
      <w:r w:rsidR="001857F0" w:rsidRPr="001857F0">
        <w:rPr>
          <w:color w:val="70AD47" w:themeColor="accent6"/>
        </w:rPr>
        <w:t xml:space="preserve"> in this type of contexts</w:t>
      </w:r>
      <w:r w:rsidR="002039A9" w:rsidRPr="001857F0">
        <w:rPr>
          <w:color w:val="70AD47" w:themeColor="accent6"/>
        </w:rPr>
        <w:t>.</w:t>
      </w:r>
      <w:r w:rsidR="00E90DF1" w:rsidRPr="001857F0">
        <w:rPr>
          <w:color w:val="70AD47" w:themeColor="accent6"/>
        </w:rPr>
        <w:t xml:space="preserve"> </w:t>
      </w:r>
      <w:r w:rsidR="00542568" w:rsidRPr="001857F0">
        <w:rPr>
          <w:color w:val="70AD47" w:themeColor="accent6"/>
        </w:rPr>
        <w:t xml:space="preserve">Normally, </w:t>
      </w:r>
      <w:r w:rsidR="001857F0" w:rsidRPr="001857F0">
        <w:rPr>
          <w:color w:val="70AD47" w:themeColor="accent6"/>
        </w:rPr>
        <w:t>shifting should not be present here unless a speaker deliberately chooses to focus on one constituent over the others.</w:t>
      </w:r>
    </w:p>
    <w:p w14:paraId="277E4F10" w14:textId="699D4295" w:rsidR="00420441" w:rsidRDefault="00E90DF1" w:rsidP="00542568">
      <w:pPr>
        <w:spacing w:line="276" w:lineRule="auto"/>
        <w:ind w:firstLine="720"/>
        <w:jc w:val="both"/>
        <w:rPr>
          <w:color w:val="0070C0"/>
        </w:rPr>
      </w:pPr>
      <w:r>
        <w:rPr>
          <w:color w:val="0070C0"/>
        </w:rPr>
        <w:t>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(9)</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proofErr w:type="spellEnd"/>
            <w:r w:rsidR="003E057E" w:rsidRPr="00DC1274">
              <w:rPr>
                <w:color w:val="0070C0"/>
              </w:rPr>
              <w:t>. 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lastRenderedPageBreak/>
              <w:t>Lit: ‘Barks non-stop our dog.’</w:t>
            </w:r>
          </w:p>
        </w:tc>
      </w:tr>
    </w:tbl>
    <w:p w14:paraId="1ADD16B7" w14:textId="77777777" w:rsidR="00E90DF1" w:rsidRPr="001950C3" w:rsidRDefault="00E90DF1" w:rsidP="00420441">
      <w:pPr>
        <w:spacing w:line="276" w:lineRule="auto"/>
        <w:jc w:val="both"/>
        <w:rPr>
          <w:color w:val="0070C0"/>
        </w:rPr>
      </w:pPr>
    </w:p>
    <w:p w14:paraId="6A7D4ED1" w14:textId="3C5C9D9B" w:rsidR="00420441" w:rsidRDefault="00DC1274" w:rsidP="00420441">
      <w:pPr>
        <w:spacing w:line="276" w:lineRule="auto"/>
        <w:jc w:val="both"/>
        <w:rPr>
          <w:color w:val="0070C0"/>
        </w:rPr>
      </w:pPr>
      <w:r>
        <w:rPr>
          <w:color w:val="0070C0"/>
        </w:rPr>
        <w:t>3.2.1</w:t>
      </w:r>
      <w:r>
        <w:rPr>
          <w:color w:val="0070C0"/>
        </w:rPr>
        <w:tab/>
        <w:t xml:space="preserve">Results </w:t>
      </w:r>
      <w:r w:rsidR="001857F0" w:rsidRPr="001857F0">
        <w:rPr>
          <w:color w:val="70AD47" w:themeColor="accent6"/>
        </w:rPr>
        <w:t>for this ta</w:t>
      </w:r>
      <w:r w:rsidR="001857F0">
        <w:rPr>
          <w:color w:val="70AD47" w:themeColor="accent6"/>
        </w:rPr>
        <w:t>sk</w:t>
      </w:r>
    </w:p>
    <w:p w14:paraId="4C1BCA26" w14:textId="2ADA04CA" w:rsidR="00DC1274" w:rsidRDefault="00DC1274" w:rsidP="00420441">
      <w:pPr>
        <w:spacing w:line="276" w:lineRule="auto"/>
        <w:jc w:val="both"/>
        <w:rPr>
          <w:color w:val="0070C0"/>
        </w:rPr>
      </w:pPr>
    </w:p>
    <w:p w14:paraId="2A08FD30" w14:textId="5BBCECCC" w:rsidR="0083299C" w:rsidRDefault="0083299C" w:rsidP="00420441">
      <w:pPr>
        <w:spacing w:line="276" w:lineRule="auto"/>
        <w:jc w:val="both"/>
        <w:rPr>
          <w:color w:val="70AD47" w:themeColor="accent6"/>
        </w:rPr>
      </w:pPr>
      <w:r>
        <w:rPr>
          <w:color w:val="70AD47" w:themeColor="accent6"/>
        </w:rPr>
        <w:t xml:space="preserve">The data gathered from this task showed such an intimate link between our macro- and micro-queries that I shall discuss them together here. </w:t>
      </w:r>
      <w:r w:rsidR="00474043">
        <w:rPr>
          <w:color w:val="70AD47" w:themeColor="accent6"/>
        </w:rPr>
        <w:t xml:space="preserve">Overall, the data confirmed that the base ordering of constituents is the preferred one in </w:t>
      </w:r>
      <w:r w:rsidR="00474043" w:rsidRPr="00474043">
        <w:rPr>
          <w:i/>
          <w:iCs/>
          <w:color w:val="70AD47" w:themeColor="accent6"/>
        </w:rPr>
        <w:t>out-of-the-blue</w:t>
      </w:r>
      <w:r w:rsidR="00474043">
        <w:rPr>
          <w:color w:val="70AD47" w:themeColor="accent6"/>
        </w:rPr>
        <w:t xml:space="preserve"> contexts, with the only exception of </w:t>
      </w:r>
      <w:proofErr w:type="spellStart"/>
      <w:r w:rsidR="00474043">
        <w:rPr>
          <w:color w:val="70AD47" w:themeColor="accent6"/>
        </w:rPr>
        <w:t>unaccusative</w:t>
      </w:r>
      <w:proofErr w:type="spellEnd"/>
      <w:r w:rsidR="00474043">
        <w:rPr>
          <w:color w:val="70AD47" w:themeColor="accent6"/>
        </w:rPr>
        <w:t xml:space="preserve"> verbs which I discuss below.</w:t>
      </w:r>
    </w:p>
    <w:p w14:paraId="08F67E65" w14:textId="528E18D3" w:rsidR="001857F0" w:rsidRPr="001857F0" w:rsidRDefault="007A1BD3" w:rsidP="0083299C">
      <w:pPr>
        <w:spacing w:line="276" w:lineRule="auto"/>
        <w:ind w:firstLine="720"/>
        <w:jc w:val="both"/>
        <w:rPr>
          <w:color w:val="70AD47" w:themeColor="accent6"/>
        </w:rPr>
      </w:pPr>
      <w:r>
        <w:rPr>
          <w:color w:val="70AD47" w:themeColor="accent6"/>
        </w:rPr>
        <w:t>When it comes to subject placement, t</w:t>
      </w:r>
      <w:r w:rsidR="001857F0" w:rsidRPr="001857F0">
        <w:rPr>
          <w:color w:val="70AD47" w:themeColor="accent6"/>
        </w:rPr>
        <w:t>he informants</w:t>
      </w:r>
      <w:r w:rsidR="001857F0">
        <w:rPr>
          <w:color w:val="70AD47" w:themeColor="accent6"/>
        </w:rPr>
        <w:t xml:space="preserve"> showed a sheer preference for SV orderings with unergative verbs, with only 1/64 of total occurrences being VS.</w:t>
      </w:r>
      <w:r w:rsidR="000202C8">
        <w:rPr>
          <w:color w:val="70AD47" w:themeColor="accent6"/>
        </w:rPr>
        <w:t xml:space="preserve"> Conversely, </w:t>
      </w:r>
      <w:proofErr w:type="spellStart"/>
      <w:r w:rsidR="000202C8">
        <w:rPr>
          <w:color w:val="70AD47" w:themeColor="accent6"/>
        </w:rPr>
        <w:t>unaccusative</w:t>
      </w:r>
      <w:proofErr w:type="spellEnd"/>
      <w:r w:rsidR="000202C8">
        <w:rPr>
          <w:color w:val="70AD47" w:themeColor="accent6"/>
        </w:rPr>
        <w:t xml:space="preserve"> verbs</w:t>
      </w:r>
      <w:r>
        <w:rPr>
          <w:color w:val="70AD47" w:themeColor="accent6"/>
        </w:rPr>
        <w:t xml:space="preserve"> </w:t>
      </w:r>
      <w:r w:rsidR="000202C8">
        <w:rPr>
          <w:color w:val="70AD47" w:themeColor="accent6"/>
        </w:rPr>
        <w:t xml:space="preserve">showed a preference for SV only in 58% of cases. Given the argument structure of </w:t>
      </w:r>
      <w:proofErr w:type="spellStart"/>
      <w:r w:rsidR="000202C8">
        <w:rPr>
          <w:color w:val="70AD47" w:themeColor="accent6"/>
        </w:rPr>
        <w:t>unaccusative</w:t>
      </w:r>
      <w:proofErr w:type="spellEnd"/>
      <w:r w:rsidR="000202C8">
        <w:rPr>
          <w:color w:val="70AD47" w:themeColor="accent6"/>
        </w:rPr>
        <w:t xml:space="preserve"> verbs, whose subject is widely acknowledged to start out as an internal argument (i.e., in the structural position </w:t>
      </w:r>
      <w:proofErr w:type="spellStart"/>
      <w:r w:rsidR="000202C8">
        <w:rPr>
          <w:color w:val="70AD47" w:themeColor="accent6"/>
        </w:rPr>
        <w:t>normally</w:t>
      </w:r>
      <w:proofErr w:type="spellEnd"/>
      <w:r w:rsidR="000202C8">
        <w:rPr>
          <w:color w:val="70AD47" w:themeColor="accent6"/>
        </w:rPr>
        <w:t xml:space="preserve"> occupied by direct objects, </w:t>
      </w:r>
      <w:proofErr w:type="spellStart"/>
      <w:r w:rsidR="000202C8">
        <w:rPr>
          <w:color w:val="70AD47" w:themeColor="accent6"/>
        </w:rPr>
        <w:t>Burzio</w:t>
      </w:r>
      <w:proofErr w:type="spellEnd"/>
      <w:r w:rsidR="000202C8">
        <w:rPr>
          <w:color w:val="70AD47" w:themeColor="accent6"/>
        </w:rPr>
        <w:t xml:space="preserve"> 1986), it is unsurprising that some speakers chose the VS ordering here. </w:t>
      </w:r>
      <w:r w:rsidR="000D66CF">
        <w:rPr>
          <w:color w:val="70AD47" w:themeColor="accent6"/>
        </w:rPr>
        <w:t>No geographic effect could be detected and, g</w:t>
      </w:r>
      <w:r w:rsidR="00A165B1">
        <w:rPr>
          <w:color w:val="70AD47" w:themeColor="accent6"/>
        </w:rPr>
        <w:t xml:space="preserve">iven that there are no nominal constituents </w:t>
      </w:r>
      <w:r w:rsidR="000202C8">
        <w:rPr>
          <w:color w:val="70AD47" w:themeColor="accent6"/>
        </w:rPr>
        <w:t xml:space="preserve">other than the subject </w:t>
      </w:r>
      <w:r w:rsidR="00A165B1">
        <w:rPr>
          <w:color w:val="70AD47" w:themeColor="accent6"/>
        </w:rPr>
        <w:t xml:space="preserve">in the sentences under investigation, </w:t>
      </w:r>
      <w:r w:rsidR="000202C8">
        <w:rPr>
          <w:color w:val="70AD47" w:themeColor="accent6"/>
        </w:rPr>
        <w:t xml:space="preserve">feature </w:t>
      </w:r>
      <w:r w:rsidR="00A165B1">
        <w:rPr>
          <w:color w:val="70AD47" w:themeColor="accent6"/>
        </w:rPr>
        <w:t xml:space="preserve">relativized minimality </w:t>
      </w:r>
      <w:r w:rsidR="000202C8">
        <w:rPr>
          <w:color w:val="70AD47" w:themeColor="accent6"/>
        </w:rPr>
        <w:t xml:space="preserve">(Rizzi 2016, </w:t>
      </w:r>
      <w:proofErr w:type="spellStart"/>
      <w:r w:rsidR="000202C8">
        <w:rPr>
          <w:color w:val="70AD47" w:themeColor="accent6"/>
        </w:rPr>
        <w:t>Villata</w:t>
      </w:r>
      <w:proofErr w:type="spellEnd"/>
      <w:r w:rsidR="000202C8">
        <w:rPr>
          <w:color w:val="70AD47" w:themeColor="accent6"/>
        </w:rPr>
        <w:t xml:space="preserve"> et al. XXXX) </w:t>
      </w:r>
      <w:r w:rsidR="00A165B1">
        <w:rPr>
          <w:color w:val="70AD47" w:themeColor="accent6"/>
        </w:rPr>
        <w:t xml:space="preserve">effects caused by animacy </w:t>
      </w:r>
      <w:r w:rsidR="000D66CF">
        <w:rPr>
          <w:color w:val="70AD47" w:themeColor="accent6"/>
        </w:rPr>
        <w:t>were</w:t>
      </w:r>
      <w:r w:rsidR="00A165B1">
        <w:rPr>
          <w:color w:val="70AD47" w:themeColor="accent6"/>
        </w:rPr>
        <w:t xml:space="preserve"> not expected</w:t>
      </w:r>
      <w:r w:rsidR="000D66CF">
        <w:rPr>
          <w:color w:val="70AD47" w:themeColor="accent6"/>
        </w:rPr>
        <w:t xml:space="preserve"> either</w:t>
      </w:r>
      <w:r w:rsidR="00A165B1">
        <w:rPr>
          <w:color w:val="70AD47" w:themeColor="accent6"/>
        </w:rPr>
        <w:t xml:space="preserve">, as confirmed by </w:t>
      </w:r>
      <w:r w:rsidR="000202C8">
        <w:rPr>
          <w:color w:val="70AD47" w:themeColor="accent6"/>
        </w:rPr>
        <w:t>our</w:t>
      </w:r>
      <w:r w:rsidR="00A165B1">
        <w:rPr>
          <w:color w:val="70AD47" w:themeColor="accent6"/>
        </w:rPr>
        <w:t xml:space="preserve"> data.</w:t>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C45D" w14:textId="77777777" w:rsidR="00FF0D88" w:rsidRDefault="00FF0D88" w:rsidP="004D3C37">
      <w:r>
        <w:separator/>
      </w:r>
    </w:p>
  </w:endnote>
  <w:endnote w:type="continuationSeparator" w:id="0">
    <w:p w14:paraId="3C50DB14" w14:textId="77777777" w:rsidR="00FF0D88" w:rsidRDefault="00FF0D88"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141E" w14:textId="77777777" w:rsidR="00FF0D88" w:rsidRDefault="00FF0D88" w:rsidP="004D3C37">
      <w:r>
        <w:separator/>
      </w:r>
    </w:p>
  </w:footnote>
  <w:footnote w:type="continuationSeparator" w:id="0">
    <w:p w14:paraId="62C37109" w14:textId="77777777" w:rsidR="00FF0D88" w:rsidRDefault="00FF0D88"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w:t>
      </w:r>
      <w:proofErr w:type="gramStart"/>
      <w:r w:rsidRPr="000418F6">
        <w:rPr>
          <w:rFonts w:ascii="Times New Roman" w:eastAsia="Times New Roman" w:hAnsi="Times New Roman" w:cs="Times New Roman"/>
          <w:sz w:val="24"/>
          <w:szCs w:val="24"/>
        </w:rPr>
        <w:t>contrastively-focused</w:t>
      </w:r>
      <w:proofErr w:type="gramEnd"/>
      <w:r w:rsidRPr="000418F6">
        <w:rPr>
          <w:rFonts w:ascii="Times New Roman" w:eastAsia="Times New Roman" w:hAnsi="Times New Roman" w:cs="Times New Roman"/>
          <w:sz w:val="24"/>
          <w:szCs w:val="24"/>
        </w:rPr>
        <w:t xml:space="preserve">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02C8"/>
    <w:rsid w:val="00021489"/>
    <w:rsid w:val="00021A24"/>
    <w:rsid w:val="00024B4C"/>
    <w:rsid w:val="00027A89"/>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D66CF"/>
    <w:rsid w:val="000E14BA"/>
    <w:rsid w:val="000E2061"/>
    <w:rsid w:val="000E44AD"/>
    <w:rsid w:val="000E7AE9"/>
    <w:rsid w:val="00103076"/>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857F0"/>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4043"/>
    <w:rsid w:val="00477298"/>
    <w:rsid w:val="00490593"/>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2568"/>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498"/>
    <w:rsid w:val="00615CBC"/>
    <w:rsid w:val="006237DB"/>
    <w:rsid w:val="006336D7"/>
    <w:rsid w:val="006344A5"/>
    <w:rsid w:val="0063467B"/>
    <w:rsid w:val="00643B1B"/>
    <w:rsid w:val="0065037E"/>
    <w:rsid w:val="00653C78"/>
    <w:rsid w:val="006622E2"/>
    <w:rsid w:val="00681A72"/>
    <w:rsid w:val="00681CF6"/>
    <w:rsid w:val="00686F8C"/>
    <w:rsid w:val="00695637"/>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62"/>
    <w:rsid w:val="007A1BD3"/>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299C"/>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21088"/>
    <w:rsid w:val="00930154"/>
    <w:rsid w:val="009309D8"/>
    <w:rsid w:val="00930F71"/>
    <w:rsid w:val="0093145C"/>
    <w:rsid w:val="00933ED4"/>
    <w:rsid w:val="00941E83"/>
    <w:rsid w:val="009530A6"/>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D4520"/>
    <w:rsid w:val="009D6600"/>
    <w:rsid w:val="009E0688"/>
    <w:rsid w:val="009E2208"/>
    <w:rsid w:val="009E2BAA"/>
    <w:rsid w:val="009E61F7"/>
    <w:rsid w:val="009E763D"/>
    <w:rsid w:val="009F6274"/>
    <w:rsid w:val="009F6BF3"/>
    <w:rsid w:val="00A00419"/>
    <w:rsid w:val="00A02D14"/>
    <w:rsid w:val="00A165B1"/>
    <w:rsid w:val="00A16D34"/>
    <w:rsid w:val="00A26C26"/>
    <w:rsid w:val="00A31E89"/>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8C"/>
    <w:rsid w:val="00FA1B47"/>
    <w:rsid w:val="00FB085A"/>
    <w:rsid w:val="00FC100E"/>
    <w:rsid w:val="00FC10BD"/>
    <w:rsid w:val="00FC29B7"/>
    <w:rsid w:val="00FD25C2"/>
    <w:rsid w:val="00FD57BE"/>
    <w:rsid w:val="00FD7E84"/>
    <w:rsid w:val="00FE7315"/>
    <w:rsid w:val="00FF0D88"/>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528</cp:revision>
  <dcterms:created xsi:type="dcterms:W3CDTF">2022-03-29T12:24:00Z</dcterms:created>
  <dcterms:modified xsi:type="dcterms:W3CDTF">2022-10-17T11:35:00Z</dcterms:modified>
</cp:coreProperties>
</file>