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sz w:val="22"/>
          <w:szCs w:val="28"/>
        </w:rPr>
      </w:pPr>
      <w:r>
        <w:rPr>
          <w:b/>
          <w:bCs/>
          <w:sz w:val="32"/>
          <w:szCs w:val="40"/>
        </w:rPr>
        <w:t>标准共识数字化证券业务线上合作宣讲会</w:t>
      </w:r>
    </w:p>
    <w:p/>
    <w:p/>
    <w:p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活动背景</w:t>
      </w:r>
    </w:p>
    <w:p>
      <w:pPr>
        <w:numPr>
          <w:numId w:val="0"/>
        </w:numPr>
        <w:rPr>
          <w:sz w:val="28"/>
          <w:szCs w:val="36"/>
        </w:rPr>
      </w:pP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近期，众多知名经济金融学家陆续发表观点，认为2018年底及2019年的融资环境将会越来越严峻，随着银行、互联网金融平台、小贷公司等方面融资渠道的减少、融资规模的减少甚至部分渠道的转型，尤其对于中小企业的打击是巨大的，越来越多的中小企业面临融资难的问题，而且，这种困难的境况可能才刚刚开始。</w:t>
      </w:r>
    </w:p>
    <w:p>
      <w:pPr>
        <w:numPr>
          <w:numId w:val="0"/>
        </w:numPr>
        <w:rPr>
          <w:sz w:val="28"/>
          <w:szCs w:val="36"/>
        </w:rPr>
      </w:pP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在这种情况下，许多金融咨询服务公司开始关注海外融资市场，尤其在区块链金融领域，许多创新性的模式正在为投资者和融资需求方打开新的巨大的市场，而作为早期参与者，将很可能收获超出预期的回报。</w:t>
      </w:r>
    </w:p>
    <w:p>
      <w:pPr>
        <w:numPr>
          <w:numId w:val="0"/>
        </w:numPr>
        <w:rPr>
          <w:sz w:val="28"/>
          <w:szCs w:val="36"/>
        </w:rPr>
      </w:pP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标准共识早期关注并实操的数字化证券就是其中性价比较高、风险较为可控的一种，本次宣讲会，将主要针对这一新兴的区块链海外融资方式，进行信息普及与合作意向传达，希望能够为更多面临融资困境的企业一个新的选择，并通过合作，解决大家不同阶段的融资需求。</w:t>
      </w:r>
    </w:p>
    <w:p>
      <w:pPr>
        <w:numPr>
          <w:numId w:val="0"/>
        </w:numPr>
        <w:rPr>
          <w:sz w:val="28"/>
          <w:szCs w:val="36"/>
        </w:rPr>
      </w:pPr>
    </w:p>
    <w:p>
      <w:pPr>
        <w:numPr>
          <w:numId w:val="0"/>
        </w:numPr>
        <w:rPr>
          <w:sz w:val="28"/>
          <w:szCs w:val="36"/>
        </w:rPr>
      </w:pPr>
    </w:p>
    <w:p>
      <w:pPr>
        <w:numPr>
          <w:numId w:val="0"/>
        </w:numPr>
        <w:rPr>
          <w:sz w:val="28"/>
          <w:szCs w:val="36"/>
        </w:rPr>
      </w:pPr>
    </w:p>
    <w:p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主办方：标准共识</w:t>
      </w:r>
    </w:p>
    <w:p>
      <w:pPr>
        <w:numPr>
          <w:numId w:val="0"/>
        </w:numPr>
        <w:rPr>
          <w:sz w:val="28"/>
          <w:szCs w:val="36"/>
        </w:rPr>
      </w:pPr>
    </w:p>
    <w:p>
      <w:pPr>
        <w:numPr>
          <w:numId w:val="0"/>
        </w:numPr>
        <w:rPr>
          <w:rFonts w:hint="default"/>
          <w:sz w:val="28"/>
          <w:szCs w:val="36"/>
        </w:rPr>
      </w:pPr>
      <w:r>
        <w:rPr>
          <w:rFonts w:hint="eastAsia"/>
          <w:sz w:val="28"/>
          <w:szCs w:val="36"/>
        </w:rPr>
        <w:t>标准共识（Standard &amp; Consensus）是全球知名的区块链评级</w:t>
      </w:r>
      <w:r>
        <w:rPr>
          <w:rFonts w:hint="default"/>
          <w:sz w:val="28"/>
          <w:szCs w:val="36"/>
        </w:rPr>
        <w:t>与数字化证券咨询服务机构。</w:t>
      </w:r>
    </w:p>
    <w:p>
      <w:pPr>
        <w:numPr>
          <w:numId w:val="0"/>
        </w:numPr>
        <w:rPr>
          <w:rFonts w:hint="default"/>
          <w:sz w:val="28"/>
          <w:szCs w:val="36"/>
        </w:rPr>
      </w:pPr>
    </w:p>
    <w:p>
      <w:pPr>
        <w:numPr>
          <w:numId w:val="0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目前已获得 OK Blockchain Capital、策源创投、节点资本、LinkVC、信天创投等知名机构上千万元的投资。</w:t>
      </w:r>
    </w:p>
    <w:p>
      <w:pPr>
        <w:numPr>
          <w:numId w:val="0"/>
        </w:numPr>
        <w:rPr>
          <w:rFonts w:hint="default"/>
          <w:sz w:val="28"/>
          <w:szCs w:val="36"/>
        </w:rPr>
      </w:pPr>
    </w:p>
    <w:p>
      <w:pPr>
        <w:numPr>
          <w:numId w:val="0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标准共识是国内较早研究数字化证券（亦称STO）的机构之一，拥有资深的投行、法律、审计等从业背景的专业服务团队，对于数字化证券的合规、审计、通证经济设计等流程有深入的研究及咨询服务经验，战略合作伙伴包括国内外知名律所、审计机构、发行平台、交易所，包括</w:t>
      </w:r>
      <w:r>
        <w:rPr>
          <w:rFonts w:hint="eastAsia"/>
          <w:sz w:val="28"/>
          <w:szCs w:val="36"/>
        </w:rPr>
        <w:t>Polymath、Securitize、OpenFinance</w:t>
      </w:r>
      <w:r>
        <w:rPr>
          <w:rFonts w:hint="default"/>
          <w:sz w:val="28"/>
          <w:szCs w:val="36"/>
        </w:rPr>
        <w:t>等。</w:t>
      </w:r>
    </w:p>
    <w:p>
      <w:pPr>
        <w:numPr>
          <w:numId w:val="0"/>
        </w:numPr>
        <w:rPr>
          <w:rFonts w:hint="default"/>
          <w:sz w:val="28"/>
          <w:szCs w:val="36"/>
        </w:rPr>
      </w:pPr>
    </w:p>
    <w:p>
      <w:pPr>
        <w:numPr>
          <w:numId w:val="0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同时，标准共识也发布相关行业专业研究报告，在超过三十家合作媒体发布，单篇阅读量超过五十万，覆盖超过一百万用户，在业内具有较强的品牌公信力与专业认可度。</w:t>
      </w:r>
    </w:p>
    <w:p>
      <w:pPr>
        <w:numPr>
          <w:numId w:val="0"/>
        </w:numPr>
        <w:rPr>
          <w:rFonts w:hint="default"/>
          <w:sz w:val="28"/>
          <w:szCs w:val="3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公司名称：</w:t>
      </w:r>
      <w:r>
        <w:rPr>
          <w:rFonts w:hint="default"/>
          <w:sz w:val="28"/>
          <w:szCs w:val="36"/>
          <w:lang w:val="en-US" w:eastAsia="zh-CN"/>
        </w:rPr>
        <w:t>北京万连印客科技有限公司</w:t>
      </w:r>
    </w:p>
    <w:p>
      <w:pPr>
        <w:numPr>
          <w:numId w:val="0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微信公众号：SNCrating</w:t>
      </w:r>
    </w:p>
    <w:p>
      <w:pPr>
        <w:numPr>
          <w:numId w:val="0"/>
        </w:numPr>
        <w:rPr>
          <w:rFonts w:hint="default"/>
          <w:sz w:val="28"/>
          <w:szCs w:val="36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sz w:val="28"/>
          <w:szCs w:val="36"/>
        </w:rPr>
      </w:pPr>
    </w:p>
    <w:p>
      <w:pPr>
        <w:numPr>
          <w:numId w:val="0"/>
        </w:numPr>
        <w:rPr>
          <w:rFonts w:hint="default"/>
          <w:sz w:val="28"/>
          <w:szCs w:val="36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时间地点：</w:t>
      </w:r>
    </w:p>
    <w:p>
      <w:pPr>
        <w:numPr>
          <w:numId w:val="0"/>
        </w:numPr>
        <w:rPr>
          <w:rFonts w:hint="default"/>
          <w:sz w:val="28"/>
          <w:szCs w:val="36"/>
        </w:rPr>
      </w:pPr>
    </w:p>
    <w:p>
      <w:pPr>
        <w:numPr>
          <w:numId w:val="0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报名时间：2018.12.14～2018.12.19</w:t>
      </w:r>
    </w:p>
    <w:p>
      <w:pPr>
        <w:numPr>
          <w:numId w:val="0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 xml:space="preserve">报名人：张丹 巩绪祺 孙亚朋 </w:t>
      </w:r>
    </w:p>
    <w:p>
      <w:pPr>
        <w:numPr>
          <w:numId w:val="0"/>
        </w:numPr>
        <w:rPr>
          <w:rFonts w:hint="default"/>
          <w:sz w:val="28"/>
          <w:szCs w:val="36"/>
        </w:rPr>
      </w:pPr>
    </w:p>
    <w:p>
      <w:pPr>
        <w:numPr>
          <w:numId w:val="0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举办时间：2018.12.20 下午 14:00 开始</w:t>
      </w:r>
    </w:p>
    <w:p>
      <w:pPr>
        <w:numPr>
          <w:numId w:val="0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举办地点：微信群（报名后由</w:t>
      </w:r>
      <w:r>
        <w:rPr>
          <w:rFonts w:hint="default"/>
          <w:b/>
          <w:bCs/>
          <w:sz w:val="28"/>
          <w:szCs w:val="36"/>
          <w:u w:val="single"/>
        </w:rPr>
        <w:t>报名人</w:t>
      </w:r>
      <w:r>
        <w:rPr>
          <w:rFonts w:hint="default"/>
          <w:sz w:val="28"/>
          <w:szCs w:val="36"/>
        </w:rPr>
        <w:t>邀请入群，暂不接受其他邀请人的邀请）</w:t>
      </w:r>
    </w:p>
    <w:p>
      <w:pPr>
        <w:numPr>
          <w:numId w:val="0"/>
        </w:numPr>
        <w:rPr>
          <w:rFonts w:hint="default"/>
          <w:sz w:val="28"/>
          <w:szCs w:val="36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嘉宾与形式</w:t>
      </w:r>
    </w:p>
    <w:p>
      <w:pPr>
        <w:numPr>
          <w:numId w:val="0"/>
        </w:numPr>
        <w:rPr>
          <w:rFonts w:hint="default"/>
          <w:sz w:val="28"/>
          <w:szCs w:val="36"/>
        </w:rPr>
      </w:pPr>
    </w:p>
    <w:p>
      <w:pPr>
        <w:numPr>
          <w:numId w:val="0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宣讲嘉宾：徐江（标准共识首席分析师 / 前穆迪产品专家）</w:t>
      </w:r>
    </w:p>
    <w:p>
      <w:pPr>
        <w:numPr>
          <w:ilvl w:val="0"/>
          <w:numId w:val="0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宣讲嘉宾：</w:t>
      </w:r>
      <w:r>
        <w:rPr>
          <w:rFonts w:hint="default"/>
          <w:sz w:val="28"/>
          <w:szCs w:val="36"/>
        </w:rPr>
        <w:t>李自鹏</w:t>
      </w:r>
      <w:r>
        <w:rPr>
          <w:rFonts w:hint="default"/>
          <w:sz w:val="28"/>
          <w:szCs w:val="36"/>
        </w:rPr>
        <w:t>（标准共识</w:t>
      </w:r>
      <w:r>
        <w:rPr>
          <w:rFonts w:hint="default"/>
          <w:sz w:val="28"/>
          <w:szCs w:val="36"/>
        </w:rPr>
        <w:t>资深</w:t>
      </w:r>
      <w:r>
        <w:rPr>
          <w:rFonts w:hint="default"/>
          <w:sz w:val="28"/>
          <w:szCs w:val="36"/>
        </w:rPr>
        <w:t>分析师）</w:t>
      </w:r>
    </w:p>
    <w:p>
      <w:pPr>
        <w:numPr>
          <w:numId w:val="0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宣讲形式：社群直播（语音 + PPT）</w:t>
      </w:r>
    </w:p>
    <w:p>
      <w:pPr>
        <w:numPr>
          <w:numId w:val="0"/>
        </w:numPr>
        <w:rPr>
          <w:rFonts w:hint="default"/>
          <w:sz w:val="28"/>
          <w:szCs w:val="36"/>
        </w:rPr>
      </w:pPr>
    </w:p>
    <w:p>
      <w:pPr>
        <w:numPr>
          <w:numId w:val="0"/>
        </w:numPr>
        <w:rPr>
          <w:rFonts w:hint="default"/>
          <w:sz w:val="28"/>
          <w:szCs w:val="36"/>
        </w:rPr>
      </w:pPr>
    </w:p>
    <w:p>
      <w:pPr>
        <w:numPr>
          <w:numId w:val="0"/>
        </w:numPr>
        <w:rPr>
          <w:rFonts w:hint="default"/>
          <w:sz w:val="28"/>
          <w:szCs w:val="36"/>
        </w:rPr>
      </w:pPr>
    </w:p>
    <w:p>
      <w:pPr>
        <w:numPr>
          <w:numId w:val="0"/>
        </w:numPr>
        <w:rPr>
          <w:rFonts w:hint="default"/>
          <w:sz w:val="28"/>
          <w:szCs w:val="36"/>
        </w:rPr>
      </w:pPr>
    </w:p>
    <w:p>
      <w:pPr>
        <w:numPr>
          <w:numId w:val="0"/>
        </w:numPr>
        <w:rPr>
          <w:rFonts w:hint="default"/>
          <w:sz w:val="28"/>
          <w:szCs w:val="36"/>
        </w:rPr>
      </w:pPr>
    </w:p>
    <w:p>
      <w:pPr>
        <w:numPr>
          <w:numId w:val="0"/>
        </w:numPr>
        <w:rPr>
          <w:rFonts w:hint="default"/>
          <w:sz w:val="28"/>
          <w:szCs w:val="36"/>
        </w:rPr>
      </w:pPr>
    </w:p>
    <w:p>
      <w:pPr>
        <w:numPr>
          <w:numId w:val="0"/>
        </w:numPr>
        <w:rPr>
          <w:rFonts w:hint="default"/>
          <w:sz w:val="28"/>
          <w:szCs w:val="36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会议议程</w:t>
      </w:r>
    </w:p>
    <w:p>
      <w:pPr>
        <w:numPr>
          <w:numId w:val="0"/>
        </w:numPr>
        <w:rPr>
          <w:rFonts w:hint="default"/>
          <w:sz w:val="28"/>
          <w:szCs w:val="36"/>
        </w:rPr>
      </w:pPr>
    </w:p>
    <w:tbl>
      <w:tblPr>
        <w:tblStyle w:val="3"/>
        <w:tblW w:w="8150" w:type="dxa"/>
        <w:jc w:val="center"/>
        <w:tblInd w:w="0" w:type="dxa"/>
        <w:tblBorders>
          <w:top w:val="single" w:color="7E7E7E" w:themeColor="text1" w:themeTint="80" w:sz="6" w:space="0"/>
          <w:left w:val="single" w:color="7E7E7E" w:themeColor="text1" w:themeTint="80" w:sz="6" w:space="0"/>
          <w:bottom w:val="single" w:color="7E7E7E" w:themeColor="text1" w:themeTint="80" w:sz="6" w:space="0"/>
          <w:right w:val="single" w:color="7E7E7E" w:themeColor="text1" w:themeTint="80" w:sz="6" w:space="0"/>
          <w:insideH w:val="single" w:color="7E7E7E" w:themeColor="text1" w:themeTint="80" w:sz="6" w:space="0"/>
          <w:insideV w:val="single" w:color="7E7E7E" w:themeColor="text1" w:themeTint="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3347"/>
        <w:gridCol w:w="3263"/>
      </w:tblGrid>
      <w:tr>
        <w:tblPrEx>
          <w:tblBorders>
            <w:top w:val="single" w:color="7E7E7E" w:themeColor="text1" w:themeTint="80" w:sz="6" w:space="0"/>
            <w:left w:val="single" w:color="7E7E7E" w:themeColor="text1" w:themeTint="80" w:sz="6" w:space="0"/>
            <w:bottom w:val="single" w:color="7E7E7E" w:themeColor="text1" w:themeTint="80" w:sz="6" w:space="0"/>
            <w:right w:val="single" w:color="7E7E7E" w:themeColor="text1" w:themeTint="80" w:sz="6" w:space="0"/>
            <w:insideH w:val="single" w:color="7E7E7E" w:themeColor="text1" w:themeTint="80" w:sz="6" w:space="0"/>
            <w:insideV w:val="single" w:color="7E7E7E" w:themeColor="text1" w:themeTint="80" w:sz="6" w:space="0"/>
          </w:tblBorders>
          <w:tblLayout w:type="fixed"/>
        </w:tblPrEx>
        <w:trPr>
          <w:trHeight w:val="500" w:hRule="atLeast"/>
          <w:jc w:val="center"/>
        </w:trPr>
        <w:tc>
          <w:tcPr>
            <w:tcW w:w="8150" w:type="dxa"/>
            <w:gridSpan w:val="3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b/>
                <w:bCs/>
                <w:sz w:val="32"/>
                <w:szCs w:val="40"/>
              </w:rPr>
              <w:t>标准共识数字化证券业务线上合作宣讲会</w:t>
            </w:r>
          </w:p>
        </w:tc>
      </w:tr>
      <w:tr>
        <w:tblPrEx>
          <w:tblBorders>
            <w:top w:val="single" w:color="7E7E7E" w:themeColor="text1" w:themeTint="80" w:sz="6" w:space="0"/>
            <w:left w:val="single" w:color="7E7E7E" w:themeColor="text1" w:themeTint="80" w:sz="6" w:space="0"/>
            <w:bottom w:val="single" w:color="7E7E7E" w:themeColor="text1" w:themeTint="80" w:sz="6" w:space="0"/>
            <w:right w:val="single" w:color="7E7E7E" w:themeColor="text1" w:themeTint="80" w:sz="6" w:space="0"/>
            <w:insideH w:val="single" w:color="7E7E7E" w:themeColor="text1" w:themeTint="80" w:sz="6" w:space="0"/>
            <w:insideV w:val="single" w:color="7E7E7E" w:themeColor="text1" w:themeTint="80" w:sz="6" w:space="0"/>
          </w:tblBorders>
          <w:tblLayout w:type="fixed"/>
        </w:tblPrEx>
        <w:trPr>
          <w:trHeight w:val="500" w:hRule="atLeast"/>
          <w:jc w:val="center"/>
        </w:trPr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8"/>
                <w:szCs w:val="36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8"/>
                <w:szCs w:val="36"/>
              </w:rPr>
              <w:t>时间</w:t>
            </w:r>
          </w:p>
        </w:tc>
        <w:tc>
          <w:tcPr>
            <w:tcW w:w="3347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8"/>
                <w:szCs w:val="36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8"/>
                <w:szCs w:val="36"/>
              </w:rPr>
              <w:t>主题</w:t>
            </w:r>
          </w:p>
        </w:tc>
        <w:tc>
          <w:tcPr>
            <w:tcW w:w="326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8"/>
                <w:szCs w:val="36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8"/>
                <w:szCs w:val="36"/>
              </w:rPr>
              <w:t>嘉宾</w:t>
            </w:r>
          </w:p>
        </w:tc>
      </w:tr>
      <w:tr>
        <w:tblPrEx>
          <w:tblBorders>
            <w:top w:val="single" w:color="7E7E7E" w:themeColor="text1" w:themeTint="80" w:sz="6" w:space="0"/>
            <w:left w:val="single" w:color="7E7E7E" w:themeColor="text1" w:themeTint="80" w:sz="6" w:space="0"/>
            <w:bottom w:val="single" w:color="7E7E7E" w:themeColor="text1" w:themeTint="80" w:sz="6" w:space="0"/>
            <w:right w:val="single" w:color="7E7E7E" w:themeColor="text1" w:themeTint="80" w:sz="6" w:space="0"/>
            <w:insideH w:val="single" w:color="7E7E7E" w:themeColor="text1" w:themeTint="80" w:sz="6" w:space="0"/>
            <w:insideV w:val="single" w:color="7E7E7E" w:themeColor="text1" w:themeTint="80" w:sz="6" w:space="0"/>
          </w:tblBorders>
          <w:tblLayout w:type="fixed"/>
        </w:tblPrEx>
        <w:trPr>
          <w:trHeight w:val="500" w:hRule="atLeast"/>
          <w:jc w:val="center"/>
        </w:trPr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8"/>
                <w:szCs w:val="36"/>
              </w:rPr>
            </w:pPr>
            <w:r>
              <w:rPr>
                <w:rFonts w:hint="default" w:ascii="仿宋" w:hAnsi="仿宋" w:eastAsia="仿宋" w:cs="宋体"/>
                <w:color w:val="000000"/>
                <w:kern w:val="0"/>
                <w:sz w:val="28"/>
                <w:szCs w:val="36"/>
              </w:rPr>
              <w:t>14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8"/>
                <w:szCs w:val="36"/>
              </w:rPr>
              <w:t>:00-</w:t>
            </w:r>
            <w:r>
              <w:rPr>
                <w:rFonts w:hint="default" w:ascii="仿宋" w:hAnsi="仿宋" w:eastAsia="仿宋" w:cs="宋体"/>
                <w:color w:val="000000"/>
                <w:kern w:val="0"/>
                <w:sz w:val="28"/>
                <w:szCs w:val="36"/>
              </w:rPr>
              <w:t>14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8"/>
                <w:szCs w:val="36"/>
              </w:rPr>
              <w:t>:</w:t>
            </w:r>
            <w:r>
              <w:rPr>
                <w:rFonts w:hint="default" w:ascii="仿宋" w:hAnsi="仿宋" w:eastAsia="仿宋" w:cs="宋体"/>
                <w:color w:val="000000"/>
                <w:kern w:val="0"/>
                <w:sz w:val="28"/>
                <w:szCs w:val="36"/>
              </w:rPr>
              <w:t>1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8"/>
                <w:szCs w:val="36"/>
              </w:rPr>
              <w:t>0</w:t>
            </w:r>
          </w:p>
        </w:tc>
        <w:tc>
          <w:tcPr>
            <w:tcW w:w="6610" w:type="dxa"/>
            <w:gridSpan w:val="2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8"/>
                <w:szCs w:val="36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8"/>
                <w:szCs w:val="36"/>
              </w:rPr>
              <w:t>签到</w:t>
            </w:r>
          </w:p>
        </w:tc>
      </w:tr>
      <w:tr>
        <w:tblPrEx>
          <w:tblBorders>
            <w:top w:val="single" w:color="7E7E7E" w:themeColor="text1" w:themeTint="80" w:sz="6" w:space="0"/>
            <w:left w:val="single" w:color="7E7E7E" w:themeColor="text1" w:themeTint="80" w:sz="6" w:space="0"/>
            <w:bottom w:val="single" w:color="7E7E7E" w:themeColor="text1" w:themeTint="80" w:sz="6" w:space="0"/>
            <w:right w:val="single" w:color="7E7E7E" w:themeColor="text1" w:themeTint="80" w:sz="6" w:space="0"/>
            <w:insideH w:val="single" w:color="7E7E7E" w:themeColor="text1" w:themeTint="80" w:sz="6" w:space="0"/>
            <w:insideV w:val="single" w:color="7E7E7E" w:themeColor="text1" w:themeTint="80" w:sz="6" w:space="0"/>
          </w:tblBorders>
          <w:tblLayout w:type="fixed"/>
        </w:tblPrEx>
        <w:trPr>
          <w:trHeight w:val="500" w:hRule="atLeast"/>
          <w:jc w:val="center"/>
        </w:trPr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8"/>
                <w:szCs w:val="36"/>
              </w:rPr>
            </w:pPr>
            <w:r>
              <w:rPr>
                <w:rFonts w:hint="default" w:ascii="仿宋" w:hAnsi="仿宋" w:eastAsia="仿宋" w:cs="宋体"/>
                <w:color w:val="000000"/>
                <w:kern w:val="0"/>
                <w:sz w:val="28"/>
                <w:szCs w:val="36"/>
              </w:rPr>
              <w:t>14:15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8"/>
                <w:szCs w:val="36"/>
              </w:rPr>
              <w:t>-</w:t>
            </w:r>
            <w:r>
              <w:rPr>
                <w:rFonts w:hint="default" w:ascii="仿宋" w:hAnsi="仿宋" w:eastAsia="仿宋" w:cs="宋体"/>
                <w:color w:val="000000"/>
                <w:kern w:val="0"/>
                <w:sz w:val="28"/>
                <w:szCs w:val="36"/>
              </w:rPr>
              <w:t>15:00</w:t>
            </w:r>
          </w:p>
        </w:tc>
        <w:tc>
          <w:tcPr>
            <w:tcW w:w="3347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8"/>
                <w:szCs w:val="36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8"/>
                <w:szCs w:val="36"/>
              </w:rPr>
              <w:t>宣讲</w:t>
            </w:r>
          </w:p>
        </w:tc>
        <w:tc>
          <w:tcPr>
            <w:tcW w:w="326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8"/>
                <w:szCs w:val="36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8"/>
                <w:szCs w:val="36"/>
              </w:rPr>
              <w:t>徐江</w:t>
            </w:r>
          </w:p>
        </w:tc>
      </w:tr>
      <w:tr>
        <w:tblPrEx>
          <w:tblBorders>
            <w:top w:val="single" w:color="7E7E7E" w:themeColor="text1" w:themeTint="80" w:sz="6" w:space="0"/>
            <w:left w:val="single" w:color="7E7E7E" w:themeColor="text1" w:themeTint="80" w:sz="6" w:space="0"/>
            <w:bottom w:val="single" w:color="7E7E7E" w:themeColor="text1" w:themeTint="80" w:sz="6" w:space="0"/>
            <w:right w:val="single" w:color="7E7E7E" w:themeColor="text1" w:themeTint="80" w:sz="6" w:space="0"/>
            <w:insideH w:val="single" w:color="7E7E7E" w:themeColor="text1" w:themeTint="80" w:sz="6" w:space="0"/>
            <w:insideV w:val="single" w:color="7E7E7E" w:themeColor="text1" w:themeTint="80" w:sz="6" w:space="0"/>
          </w:tblBorders>
          <w:tblLayout w:type="fixed"/>
        </w:tblPrEx>
        <w:trPr>
          <w:trHeight w:val="500" w:hRule="atLeast"/>
          <w:jc w:val="center"/>
        </w:trPr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8"/>
                <w:szCs w:val="36"/>
              </w:rPr>
            </w:pPr>
            <w:r>
              <w:rPr>
                <w:rFonts w:hint="default" w:ascii="仿宋" w:hAnsi="仿宋" w:eastAsia="仿宋" w:cs="宋体"/>
                <w:color w:val="000000"/>
                <w:kern w:val="0"/>
                <w:sz w:val="28"/>
                <w:szCs w:val="36"/>
              </w:rPr>
              <w:t>15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8"/>
                <w:szCs w:val="36"/>
              </w:rPr>
              <w:t>:0</w:t>
            </w:r>
            <w:r>
              <w:rPr>
                <w:rFonts w:hint="default" w:ascii="仿宋" w:hAnsi="仿宋" w:eastAsia="仿宋" w:cs="宋体"/>
                <w:color w:val="000000"/>
                <w:kern w:val="0"/>
                <w:sz w:val="28"/>
                <w:szCs w:val="36"/>
              </w:rPr>
              <w:t>0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8"/>
                <w:szCs w:val="36"/>
              </w:rPr>
              <w:t>-</w:t>
            </w:r>
            <w:r>
              <w:rPr>
                <w:rFonts w:hint="default" w:ascii="仿宋" w:hAnsi="仿宋" w:eastAsia="仿宋" w:cs="宋体"/>
                <w:color w:val="000000"/>
                <w:kern w:val="0"/>
                <w:sz w:val="28"/>
                <w:szCs w:val="36"/>
              </w:rPr>
              <w:t>15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8"/>
                <w:szCs w:val="36"/>
              </w:rPr>
              <w:t>:</w:t>
            </w:r>
            <w:r>
              <w:rPr>
                <w:rFonts w:hint="default" w:ascii="仿宋" w:hAnsi="仿宋" w:eastAsia="仿宋" w:cs="宋体"/>
                <w:color w:val="000000"/>
                <w:kern w:val="0"/>
                <w:sz w:val="28"/>
                <w:szCs w:val="36"/>
              </w:rPr>
              <w:t>3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8"/>
                <w:szCs w:val="36"/>
              </w:rPr>
              <w:t>0</w:t>
            </w:r>
          </w:p>
        </w:tc>
        <w:tc>
          <w:tcPr>
            <w:tcW w:w="3347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8"/>
                <w:szCs w:val="36"/>
              </w:rPr>
            </w:pPr>
            <w:r>
              <w:rPr>
                <w:rFonts w:hint="default" w:ascii="仿宋" w:hAnsi="仿宋" w:eastAsia="仿宋" w:cs="宋体"/>
                <w:color w:val="000000"/>
                <w:kern w:val="0"/>
                <w:sz w:val="28"/>
                <w:szCs w:val="36"/>
              </w:rPr>
              <w:t>答疑交流</w:t>
            </w:r>
          </w:p>
        </w:tc>
        <w:tc>
          <w:tcPr>
            <w:tcW w:w="326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8"/>
                <w:szCs w:val="36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8"/>
                <w:szCs w:val="36"/>
              </w:rPr>
              <w:t>李自鹏</w:t>
            </w:r>
          </w:p>
        </w:tc>
      </w:tr>
      <w:tr>
        <w:tblPrEx>
          <w:tblBorders>
            <w:top w:val="single" w:color="7E7E7E" w:themeColor="text1" w:themeTint="80" w:sz="6" w:space="0"/>
            <w:left w:val="single" w:color="7E7E7E" w:themeColor="text1" w:themeTint="80" w:sz="6" w:space="0"/>
            <w:bottom w:val="single" w:color="7E7E7E" w:themeColor="text1" w:themeTint="80" w:sz="6" w:space="0"/>
            <w:right w:val="single" w:color="7E7E7E" w:themeColor="text1" w:themeTint="80" w:sz="6" w:space="0"/>
            <w:insideH w:val="single" w:color="7E7E7E" w:themeColor="text1" w:themeTint="80" w:sz="6" w:space="0"/>
            <w:insideV w:val="single" w:color="7E7E7E" w:themeColor="text1" w:themeTint="80" w:sz="6" w:space="0"/>
          </w:tblBorders>
          <w:tblLayout w:type="fixed"/>
        </w:tblPrEx>
        <w:trPr>
          <w:trHeight w:val="500" w:hRule="atLeast"/>
          <w:jc w:val="center"/>
        </w:trPr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8"/>
                <w:szCs w:val="36"/>
              </w:rPr>
            </w:pPr>
            <w:r>
              <w:rPr>
                <w:rFonts w:hint="default" w:ascii="仿宋" w:hAnsi="仿宋" w:eastAsia="仿宋" w:cs="宋体"/>
                <w:color w:val="000000"/>
                <w:kern w:val="0"/>
                <w:sz w:val="28"/>
                <w:szCs w:val="36"/>
              </w:rPr>
              <w:t>15:30-16:00</w:t>
            </w:r>
          </w:p>
        </w:tc>
        <w:tc>
          <w:tcPr>
            <w:tcW w:w="3347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仿宋" w:hAnsi="仿宋" w:eastAsia="仿宋" w:cs="宋体"/>
                <w:color w:val="000000"/>
                <w:kern w:val="0"/>
                <w:sz w:val="28"/>
                <w:szCs w:val="36"/>
              </w:rPr>
            </w:pPr>
            <w:r>
              <w:rPr>
                <w:rFonts w:hint="default" w:ascii="仿宋" w:hAnsi="仿宋" w:eastAsia="仿宋" w:cs="宋体"/>
                <w:color w:val="000000"/>
                <w:kern w:val="0"/>
                <w:sz w:val="28"/>
                <w:szCs w:val="36"/>
              </w:rPr>
              <w:t>个性沟通（由报名人针对有合作意向企业方发起小群，进行更深入的针对性的沟通）</w:t>
            </w:r>
          </w:p>
        </w:tc>
        <w:tc>
          <w:tcPr>
            <w:tcW w:w="326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8"/>
                <w:szCs w:val="36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8"/>
                <w:szCs w:val="36"/>
              </w:rPr>
              <w:t>标准共识 &amp; 报名人 &amp; 企业</w:t>
            </w:r>
          </w:p>
        </w:tc>
      </w:tr>
    </w:tbl>
    <w:p>
      <w:pPr>
        <w:numPr>
          <w:numId w:val="0"/>
        </w:numPr>
        <w:rPr>
          <w:rFonts w:hint="default"/>
          <w:sz w:val="28"/>
          <w:szCs w:val="36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后续合作</w:t>
      </w:r>
    </w:p>
    <w:p>
      <w:pPr>
        <w:numPr>
          <w:numId w:val="0"/>
        </w:numPr>
        <w:rPr>
          <w:rFonts w:hint="default"/>
          <w:sz w:val="28"/>
          <w:szCs w:val="36"/>
        </w:rPr>
      </w:pP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标准共识</w:t>
      </w:r>
      <w:r>
        <w:rPr>
          <w:rFonts w:hint="default"/>
          <w:sz w:val="28"/>
          <w:szCs w:val="36"/>
        </w:rPr>
        <w:t>可以提供一站式全流程服务，也可以根据企业方的需求，提供渐进式的分阶段的个性化咨询服务。</w:t>
      </w:r>
    </w:p>
    <w:p>
      <w:pPr>
        <w:numPr>
          <w:numId w:val="0"/>
        </w:numPr>
        <w:ind w:firstLine="560" w:firstLineChars="20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后续有合作意向的企业方，可以通过您的报名人与我们取得联系，并约定时间进行电话会议，乃至当面沟通。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我们期待与更多企业沟通与合作，并将以我们的专业和态度，提供最好的咨询服务。</w:t>
      </w:r>
    </w:p>
    <w:p>
      <w:pPr>
        <w:numPr>
          <w:numId w:val="0"/>
        </w:numPr>
        <w:ind w:firstLine="560" w:firstLineChars="200"/>
        <w:rPr>
          <w:sz w:val="28"/>
          <w:szCs w:val="36"/>
        </w:rPr>
      </w:pPr>
      <w:r>
        <w:rPr>
          <w:rFonts w:hint="default"/>
          <w:sz w:val="28"/>
          <w:szCs w:val="36"/>
        </w:rPr>
        <w:t>谢谢。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Mincho">
    <w:altName w:val="ヒラギノ角ゴシック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MingLiU">
    <w:altName w:val="ヒラギノ角ゴシック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ヒラギノ角ゴシック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ヒラギノ角ゴシック">
    <w:panose1 w:val="020B0300000000000000"/>
    <w:charset w:val="80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ヒラギノ角ゴシック">
    <w:panose1 w:val="020B0300000000000000"/>
    <w:charset w:val="88"/>
    <w:family w:val="auto"/>
    <w:pitch w:val="default"/>
    <w:sig w:usb0="00000000" w:usb1="00000000" w:usb2="00000000" w:usb3="00000000" w:csb0="00160000" w:csb1="00000000"/>
  </w:font>
  <w:font w:name="&amp;quo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altName w:val="华文仿宋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21365"/>
    <w:multiLevelType w:val="singleLevel"/>
    <w:tmpl w:val="5C121365"/>
    <w:lvl w:ilvl="0" w:tentative="0">
      <w:start w:val="1"/>
      <w:numFmt w:val="chineseCounting"/>
      <w:suff w:val="space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F269C"/>
    <w:rsid w:val="797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2018-12-13T13:21:00Z</dcterms:created>
  <dc:creator>edianzu</dc:creator>
  <cp:lastModifiedBy>edianzu</cp:lastModifiedBy>
  <dcterms:modified xsi:type="dcterms:W3CDTF">2018-12-13T18:32:54Z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