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7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843"/>
        <w:gridCol w:w="4873"/>
        <w:gridCol w:w="33"/>
      </w:tblGrid>
      <w:tr w:rsidR="009142F9" w:rsidRPr="0030010F" w:rsidTr="009142F9">
        <w:trPr>
          <w:gridAfter w:val="1"/>
          <w:wAfter w:w="33" w:type="dxa"/>
          <w:trHeight w:val="557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9142F9" w:rsidRPr="0030010F" w:rsidRDefault="009142F9" w:rsidP="0030010F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kern w:val="0"/>
                <w:sz w:val="16"/>
                <w:szCs w:val="18"/>
              </w:rPr>
            </w:pPr>
            <w:bookmarkStart w:id="0" w:name="_Hlk531192425"/>
            <w:bookmarkStart w:id="1" w:name="_GoBack"/>
            <w:r w:rsidRPr="0030010F">
              <w:rPr>
                <w:rFonts w:ascii="华文楷体" w:eastAsia="华文楷体" w:hAnsi="华文楷体" w:cs="宋体"/>
                <w:b/>
                <w:bCs/>
                <w:kern w:val="0"/>
                <w:sz w:val="16"/>
                <w:szCs w:val="18"/>
              </w:rPr>
              <w:t>服务主科目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9142F9" w:rsidRPr="0030010F" w:rsidRDefault="009142F9" w:rsidP="0030010F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/>
                <w:b/>
                <w:bCs/>
                <w:kern w:val="0"/>
                <w:sz w:val="16"/>
                <w:szCs w:val="18"/>
              </w:rPr>
              <w:t>二级科目</w:t>
            </w:r>
          </w:p>
        </w:tc>
        <w:tc>
          <w:tcPr>
            <w:tcW w:w="4873" w:type="dxa"/>
            <w:shd w:val="clear" w:color="auto" w:fill="auto"/>
            <w:noWrap/>
            <w:vAlign w:val="center"/>
            <w:hideMark/>
          </w:tcPr>
          <w:p w:rsidR="009142F9" w:rsidRPr="0030010F" w:rsidRDefault="009142F9" w:rsidP="0030010F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b/>
                <w:bCs/>
                <w:kern w:val="0"/>
                <w:sz w:val="16"/>
                <w:szCs w:val="18"/>
              </w:rPr>
              <w:t>服务细节描述</w:t>
            </w:r>
          </w:p>
        </w:tc>
      </w:tr>
      <w:tr w:rsidR="00E163C6" w:rsidRPr="0030010F" w:rsidTr="009142F9">
        <w:trPr>
          <w:gridAfter w:val="1"/>
          <w:wAfter w:w="33" w:type="dxa"/>
          <w:trHeight w:val="1412"/>
        </w:trPr>
        <w:tc>
          <w:tcPr>
            <w:tcW w:w="1124" w:type="dxa"/>
            <w:vMerge w:val="restart"/>
            <w:shd w:val="clear" w:color="auto" w:fill="auto"/>
            <w:vAlign w:val="center"/>
            <w:hideMark/>
          </w:tcPr>
          <w:p w:rsidR="00E163C6" w:rsidRPr="0030010F" w:rsidRDefault="00E163C6" w:rsidP="0030010F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前期规划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163C6" w:rsidRPr="0030010F" w:rsidRDefault="00E163C6" w:rsidP="001713CF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公司架构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设计</w:t>
            </w:r>
          </w:p>
        </w:tc>
        <w:tc>
          <w:tcPr>
            <w:tcW w:w="4873" w:type="dxa"/>
            <w:shd w:val="clear" w:color="auto" w:fill="auto"/>
            <w:vAlign w:val="center"/>
            <w:hideMark/>
          </w:tcPr>
          <w:p w:rsidR="00E163C6" w:rsidRPr="0030010F" w:rsidRDefault="00E163C6" w:rsidP="0030010F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  <w:t>深度调研公司信息及资产特点，选择资产发行ST的方案，如ABS模式、GP/LP模式和股权模式分别调研及测算投入产出比</w:t>
            </w:r>
          </w:p>
        </w:tc>
      </w:tr>
      <w:tr w:rsidR="00E163C6" w:rsidRPr="0030010F" w:rsidTr="009142F9">
        <w:trPr>
          <w:gridAfter w:val="1"/>
          <w:wAfter w:w="33" w:type="dxa"/>
          <w:trHeight w:val="1548"/>
        </w:trPr>
        <w:tc>
          <w:tcPr>
            <w:tcW w:w="1124" w:type="dxa"/>
            <w:vMerge/>
            <w:shd w:val="clear" w:color="auto" w:fill="auto"/>
            <w:vAlign w:val="center"/>
            <w:hideMark/>
          </w:tcPr>
          <w:p w:rsidR="00E163C6" w:rsidRPr="0030010F" w:rsidRDefault="00E163C6" w:rsidP="000878D9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163C6" w:rsidRPr="0030010F" w:rsidRDefault="00E163C6" w:rsidP="001713CF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STO流程及时间表</w:t>
            </w:r>
          </w:p>
        </w:tc>
        <w:tc>
          <w:tcPr>
            <w:tcW w:w="4873" w:type="dxa"/>
            <w:shd w:val="clear" w:color="auto" w:fill="auto"/>
            <w:noWrap/>
            <w:vAlign w:val="center"/>
            <w:hideMark/>
          </w:tcPr>
          <w:p w:rsidR="00E163C6" w:rsidRPr="0030010F" w:rsidRDefault="00E163C6" w:rsidP="000878D9">
            <w:pPr>
              <w:widowControl/>
              <w:jc w:val="left"/>
              <w:rPr>
                <w:rFonts w:ascii="华文楷体" w:eastAsia="华文楷体" w:hAnsi="华文楷体" w:cs="宋体" w:hint="eastAsia"/>
                <w:bCs/>
                <w:kern w:val="0"/>
                <w:sz w:val="16"/>
                <w:szCs w:val="18"/>
              </w:rPr>
            </w:pPr>
            <w:r w:rsidRPr="000878D9">
              <w:rPr>
                <w:rFonts w:ascii="华文楷体" w:eastAsia="华文楷体" w:hAnsi="华文楷体" w:cs="宋体" w:hint="eastAsia"/>
                <w:bCs/>
                <w:kern w:val="0"/>
                <w:sz w:val="16"/>
                <w:szCs w:val="18"/>
              </w:rPr>
              <w:t>根据公司架构设计来安排法律合</w:t>
            </w:r>
            <w:proofErr w:type="gramStart"/>
            <w:r w:rsidRPr="000878D9">
              <w:rPr>
                <w:rFonts w:ascii="华文楷体" w:eastAsia="华文楷体" w:hAnsi="华文楷体" w:cs="宋体" w:hint="eastAsia"/>
                <w:bCs/>
                <w:kern w:val="0"/>
                <w:sz w:val="16"/>
                <w:szCs w:val="18"/>
              </w:rPr>
              <w:t>规</w:t>
            </w:r>
            <w:proofErr w:type="gramEnd"/>
            <w:r w:rsidRPr="000878D9">
              <w:rPr>
                <w:rFonts w:ascii="华文楷体" w:eastAsia="华文楷体" w:hAnsi="华文楷体" w:cs="宋体" w:hint="eastAsia"/>
                <w:bCs/>
                <w:kern w:val="0"/>
                <w:sz w:val="16"/>
                <w:szCs w:val="18"/>
              </w:rPr>
              <w:t>、公司架构、</w:t>
            </w:r>
            <w:r>
              <w:rPr>
                <w:rFonts w:ascii="华文楷体" w:eastAsia="华文楷体" w:hAnsi="华文楷体" w:cs="宋体" w:hint="eastAsia"/>
                <w:bCs/>
                <w:kern w:val="0"/>
                <w:sz w:val="16"/>
                <w:szCs w:val="18"/>
              </w:rPr>
              <w:t>生成ST、募资、交割、登陆交易所等环节的实施计划，确定每一步完成的目标及步骤拆解，保障各环节规划在预期的时间内完成</w:t>
            </w:r>
            <w:r w:rsidRPr="0030010F">
              <w:rPr>
                <w:rFonts w:ascii="华文楷体" w:eastAsia="华文楷体" w:hAnsi="华文楷体" w:cs="宋体"/>
                <w:bCs/>
                <w:kern w:val="0"/>
                <w:sz w:val="16"/>
                <w:szCs w:val="18"/>
              </w:rPr>
              <w:t xml:space="preserve">　</w:t>
            </w:r>
          </w:p>
        </w:tc>
      </w:tr>
      <w:tr w:rsidR="009142F9" w:rsidRPr="0030010F" w:rsidTr="009142F9">
        <w:trPr>
          <w:gridAfter w:val="1"/>
          <w:wAfter w:w="33" w:type="dxa"/>
          <w:trHeight w:val="1548"/>
        </w:trPr>
        <w:tc>
          <w:tcPr>
            <w:tcW w:w="1124" w:type="dxa"/>
            <w:vMerge w:val="restart"/>
            <w:shd w:val="clear" w:color="auto" w:fill="auto"/>
            <w:vAlign w:val="center"/>
          </w:tcPr>
          <w:p w:rsidR="009142F9" w:rsidRPr="0030010F" w:rsidRDefault="009142F9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募资方案设计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142F9" w:rsidRPr="0030010F" w:rsidRDefault="009142F9" w:rsidP="001713CF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募资额度</w:t>
            </w:r>
          </w:p>
        </w:tc>
        <w:tc>
          <w:tcPr>
            <w:tcW w:w="4873" w:type="dxa"/>
            <w:shd w:val="clear" w:color="auto" w:fill="auto"/>
            <w:noWrap/>
            <w:vAlign w:val="center"/>
          </w:tcPr>
          <w:p w:rsidR="009142F9" w:rsidRPr="0030010F" w:rsidRDefault="009142F9" w:rsidP="009142F9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募资额度与发行人所选择的SEC证券注册豁免的法规相对映，不同的法规对于相关的募资额度实际上要求大相径庭，因此募资额度的确定是法律规定、发行人自身的需求以及Token发行数量多个因素的综合结果。</w:t>
            </w:r>
          </w:p>
        </w:tc>
      </w:tr>
      <w:tr w:rsidR="009142F9" w:rsidRPr="0030010F" w:rsidTr="009142F9">
        <w:trPr>
          <w:gridAfter w:val="1"/>
          <w:wAfter w:w="33" w:type="dxa"/>
          <w:trHeight w:val="1548"/>
        </w:trPr>
        <w:tc>
          <w:tcPr>
            <w:tcW w:w="1124" w:type="dxa"/>
            <w:vMerge/>
            <w:shd w:val="clear" w:color="auto" w:fill="auto"/>
            <w:vAlign w:val="center"/>
          </w:tcPr>
          <w:p w:rsidR="009142F9" w:rsidRPr="0030010F" w:rsidRDefault="009142F9" w:rsidP="009142F9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142F9" w:rsidRPr="0030010F" w:rsidRDefault="009142F9" w:rsidP="001713CF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认购条件</w:t>
            </w:r>
          </w:p>
        </w:tc>
        <w:tc>
          <w:tcPr>
            <w:tcW w:w="4873" w:type="dxa"/>
            <w:shd w:val="clear" w:color="auto" w:fill="auto"/>
            <w:noWrap/>
            <w:vAlign w:val="center"/>
          </w:tcPr>
          <w:p w:rsidR="009142F9" w:rsidRPr="0030010F" w:rsidRDefault="009142F9" w:rsidP="009142F9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发行募集方案中会对投资者的认购条件进行限定，同时还会对可接受认购的货币种类进行限定。在不同的发行阶段（预售阶段和正式发售阶段）对美国公民和非美国公民的认购额均有相应的限定。</w:t>
            </w:r>
          </w:p>
        </w:tc>
      </w:tr>
      <w:tr w:rsidR="009142F9" w:rsidRPr="0030010F" w:rsidTr="009142F9">
        <w:trPr>
          <w:gridAfter w:val="1"/>
          <w:wAfter w:w="33" w:type="dxa"/>
          <w:trHeight w:val="1548"/>
        </w:trPr>
        <w:tc>
          <w:tcPr>
            <w:tcW w:w="1124" w:type="dxa"/>
            <w:vMerge/>
            <w:shd w:val="clear" w:color="auto" w:fill="auto"/>
            <w:vAlign w:val="center"/>
          </w:tcPr>
          <w:p w:rsidR="009142F9" w:rsidRPr="0030010F" w:rsidRDefault="009142F9" w:rsidP="009142F9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142F9" w:rsidRPr="0030010F" w:rsidRDefault="009142F9" w:rsidP="001713CF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回购条款</w:t>
            </w:r>
          </w:p>
        </w:tc>
        <w:tc>
          <w:tcPr>
            <w:tcW w:w="4873" w:type="dxa"/>
            <w:shd w:val="clear" w:color="auto" w:fill="auto"/>
            <w:noWrap/>
            <w:vAlign w:val="center"/>
          </w:tcPr>
          <w:p w:rsidR="009142F9" w:rsidRPr="0030010F" w:rsidRDefault="009142F9" w:rsidP="009142F9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回购条款会对可能触发回购的情形进行描述，通常为发行人将已发行的Token将按某一价格进行统一的回购的情形。该条款情形的设定对于投资者有重大的影响，标准共识能够提供专业的回购条款方案。</w:t>
            </w:r>
          </w:p>
        </w:tc>
      </w:tr>
      <w:tr w:rsidR="009142F9" w:rsidRPr="0030010F" w:rsidTr="00CD59F8">
        <w:trPr>
          <w:gridAfter w:val="1"/>
          <w:wAfter w:w="33" w:type="dxa"/>
          <w:trHeight w:val="2259"/>
        </w:trPr>
        <w:tc>
          <w:tcPr>
            <w:tcW w:w="1124" w:type="dxa"/>
            <w:shd w:val="clear" w:color="auto" w:fill="auto"/>
            <w:vAlign w:val="center"/>
            <w:hideMark/>
          </w:tcPr>
          <w:p w:rsidR="009142F9" w:rsidRPr="0030010F" w:rsidRDefault="009142F9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预售阶段的BP撰写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9142F9" w:rsidRPr="0030010F" w:rsidRDefault="009142F9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 xml:space="preserve">　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预售阶段募资BP撰写</w:t>
            </w:r>
          </w:p>
        </w:tc>
        <w:tc>
          <w:tcPr>
            <w:tcW w:w="4873" w:type="dxa"/>
            <w:shd w:val="clear" w:color="auto" w:fill="auto"/>
            <w:vAlign w:val="center"/>
            <w:hideMark/>
          </w:tcPr>
          <w:p w:rsidR="009142F9" w:rsidRDefault="009142F9" w:rsidP="009142F9">
            <w:pPr>
              <w:widowControl/>
              <w:spacing w:after="360"/>
              <w:jc w:val="left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撰写本项目的白皮书。白皮书主要目的是描述项目并说明发行Security Token 必要性的文件。项目白皮书应当清晰的阐述项目目标、业务开展模式和具体的实施步骤。通常包括的业务规划、团队介绍、</w:t>
            </w:r>
            <w:proofErr w:type="gramStart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通证经济模型</w:t>
            </w:r>
            <w:proofErr w:type="gramEnd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、辖区选择、时间规划和代币分发机制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。</w:t>
            </w:r>
          </w:p>
          <w:p w:rsidR="009142F9" w:rsidRPr="0030010F" w:rsidRDefault="009142F9" w:rsidP="009142F9">
            <w:pPr>
              <w:widowControl/>
              <w:spacing w:after="360"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（1）业务规划：通常主要由项目简介、应用场景、产品形态以及设计原理构成。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br/>
              <w:t>（2）团队介绍：团队人员的实力、分工和决策机制直接决定了项目的成败，因此，团队介绍应当突出合理化配置。通常包含如下内容 ①团队成员的构成、成员身份、所属职位、从业经历和决策机制等信息 ②团队业绩。即团队曾经参与的项目或创造的业绩 ③团队的社会活动经历。即团队在公开场合参与的有社会影响力的活动。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br/>
              <w:t>（3）</w:t>
            </w:r>
            <w:proofErr w:type="gramStart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通证经济模型</w:t>
            </w:r>
            <w:proofErr w:type="gramEnd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：主要</w:t>
            </w:r>
            <w:proofErr w:type="gramStart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讲述通证的</w:t>
            </w:r>
            <w:proofErr w:type="gramEnd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功能</w:t>
            </w:r>
            <w:proofErr w:type="gramStart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以及通证升值</w:t>
            </w:r>
            <w:proofErr w:type="gramEnd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空间，而具体模型的设计需要由资深分析师根据项目的业务特点，设计Security Token 的经济模型。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br/>
              <w:t>（4）辖区选择。从目前来看，不同国家监管细节和进度各不相同，不同的辖区所适用的监管方案存在着较大差异，因此合理选择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lastRenderedPageBreak/>
              <w:t>适合项目的辖区是极为重要的。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br/>
              <w:t>（5）时间规划。项目团队应当对STO的各个流程进行合理的时间规划，并根据所处辖区的法律所规定的用时来相应的调整项目完成时间。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br/>
              <w:t>（6）代币分发机制。在项目初始阶段，项目团队一般会获得少量 Token 作为激励，此后随着团队各阶段任务的完成，团队成员获得的 Token 会不断增加。</w:t>
            </w:r>
          </w:p>
        </w:tc>
      </w:tr>
      <w:tr w:rsidR="00E163C6" w:rsidRPr="0030010F" w:rsidTr="0037486B">
        <w:trPr>
          <w:trHeight w:val="989"/>
        </w:trPr>
        <w:tc>
          <w:tcPr>
            <w:tcW w:w="1124" w:type="dxa"/>
            <w:vMerge w:val="restart"/>
            <w:shd w:val="clear" w:color="auto" w:fill="auto"/>
            <w:vAlign w:val="center"/>
          </w:tcPr>
          <w:p w:rsidR="00E163C6" w:rsidRPr="0030010F" w:rsidRDefault="00E163C6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lastRenderedPageBreak/>
              <w:t>合作资源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对接</w:t>
            </w:r>
            <w:r w:rsid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及咨询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163C6" w:rsidRPr="0030010F" w:rsidRDefault="00E163C6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发行平台</w:t>
            </w:r>
          </w:p>
        </w:tc>
        <w:tc>
          <w:tcPr>
            <w:tcW w:w="4906" w:type="dxa"/>
            <w:gridSpan w:val="2"/>
            <w:shd w:val="clear" w:color="auto" w:fill="auto"/>
            <w:vAlign w:val="center"/>
          </w:tcPr>
          <w:p w:rsidR="00E163C6" w:rsidRDefault="00E163C6" w:rsidP="0037486B">
            <w:pPr>
              <w:widowControl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合作的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发行平台包括Polymath 和 Securitize 等</w:t>
            </w:r>
            <w:proofErr w:type="gramStart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知名发行</w:t>
            </w:r>
            <w:proofErr w:type="gramEnd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平台，以及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有丰富经验的智能合约工程师，可以帮助项目选择最优解决方案</w:t>
            </w:r>
            <w:r w:rsid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；</w:t>
            </w:r>
          </w:p>
          <w:p w:rsidR="0037486B" w:rsidRPr="0037486B" w:rsidRDefault="0037486B" w:rsidP="0037486B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 w:rsidRP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前期发币平台的注册工作</w:t>
            </w:r>
          </w:p>
          <w:p w:rsidR="0037486B" w:rsidRDefault="0037486B" w:rsidP="0037486B">
            <w:pPr>
              <w:pStyle w:val="a3"/>
              <w:widowControl/>
              <w:ind w:left="360" w:firstLineChars="0" w:firstLine="0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 w:rsidRP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不同发币平台的注册申请步骤虽略有不同，整体上较为复杂和繁琐，需要由专业的第三方机构帮助注册和申请。通常需要包括发行人姓名（</w:t>
            </w:r>
            <w:r w:rsidRPr="0037486B"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  <w:t xml:space="preserve"> Name ）、邮箱（ Email ）、发行实体的法律名称（ Issuing Entity Legal Name ）在内的申请信息和主要发行信息（ Primary Offering Information ）。</w:t>
            </w:r>
          </w:p>
          <w:p w:rsidR="0037486B" w:rsidRDefault="0037486B" w:rsidP="0037486B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协助选择最优发币平台</w:t>
            </w:r>
          </w:p>
          <w:p w:rsidR="0037486B" w:rsidRDefault="0037486B" w:rsidP="0037486B">
            <w:pPr>
              <w:pStyle w:val="a3"/>
              <w:widowControl/>
              <w:ind w:left="360" w:firstLineChars="0" w:firstLine="0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主流的发币平台目前有P</w:t>
            </w:r>
            <w:r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  <w:t>olymath\Securitize\Harbor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等众多平台，</w:t>
            </w:r>
            <w:r w:rsidRP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由于发行收费、发行规划及发行时间的不同，为实现最优的发行效果，标准共识将向发行方提供最优的发</w:t>
            </w:r>
            <w:proofErr w:type="gramStart"/>
            <w:r w:rsidRP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币选择</w:t>
            </w:r>
            <w:proofErr w:type="gramEnd"/>
            <w:r w:rsidRP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方案，竭力节约发行成本，提高发行效率。</w:t>
            </w:r>
          </w:p>
          <w:p w:rsidR="0037486B" w:rsidRPr="0037486B" w:rsidRDefault="0037486B" w:rsidP="0037486B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 w:rsidRP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确定发行服务细节，协助完成项目方与发币平台之间的沟通，保护项目方的权益</w:t>
            </w:r>
          </w:p>
          <w:p w:rsidR="0037486B" w:rsidRPr="0037486B" w:rsidRDefault="0037486B" w:rsidP="0037486B">
            <w:pPr>
              <w:pStyle w:val="a3"/>
              <w:widowControl/>
              <w:ind w:left="360" w:firstLineChars="0" w:firstLine="0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37486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在与发币平台对接的过程中，由于涉及的流程较多，手续较为繁杂，容易产生信息遗漏和相关的法律风险，同时由于对中间环节的不同，项目方自身对接可能会产生部分权益的损失，标准共识和多家平台机构保持着良好的合作关系，可以提供相关的标准化文案以及相应的咨询服务，降低项目方的风险，提升发行效率。</w:t>
            </w:r>
          </w:p>
        </w:tc>
      </w:tr>
      <w:tr w:rsidR="00E163C6" w:rsidRPr="0030010F" w:rsidTr="00E163C6">
        <w:trPr>
          <w:trHeight w:val="968"/>
        </w:trPr>
        <w:tc>
          <w:tcPr>
            <w:tcW w:w="1124" w:type="dxa"/>
            <w:vMerge/>
            <w:shd w:val="clear" w:color="auto" w:fill="auto"/>
            <w:vAlign w:val="center"/>
          </w:tcPr>
          <w:p w:rsidR="00E163C6" w:rsidRPr="0030010F" w:rsidRDefault="00E163C6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163C6" w:rsidRPr="0030010F" w:rsidRDefault="00E163C6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交易所</w:t>
            </w:r>
          </w:p>
        </w:tc>
        <w:tc>
          <w:tcPr>
            <w:tcW w:w="4906" w:type="dxa"/>
            <w:gridSpan w:val="2"/>
            <w:shd w:val="clear" w:color="auto" w:fill="auto"/>
            <w:vAlign w:val="center"/>
          </w:tcPr>
          <w:p w:rsidR="00E163C6" w:rsidRDefault="00E163C6" w:rsidP="009142F9">
            <w:pPr>
              <w:widowControl/>
              <w:jc w:val="left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合作的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 xml:space="preserve">交易所包括 </w:t>
            </w:r>
            <w:proofErr w:type="spellStart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tZERO</w:t>
            </w:r>
            <w:proofErr w:type="spellEnd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 xml:space="preserve"> 和</w:t>
            </w:r>
            <w:proofErr w:type="spellStart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OpenFinance</w:t>
            </w:r>
            <w:proofErr w:type="spellEnd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等有 Security Token 二级市场交易资质的机构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，保障项目可以快速完成上币</w:t>
            </w:r>
            <w:r w:rsidR="00E4488B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；</w:t>
            </w:r>
          </w:p>
          <w:p w:rsidR="00E4488B" w:rsidRPr="00264BF7" w:rsidRDefault="00264BF7" w:rsidP="00264BF7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 w:rsidRPr="00264BF7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提供各大交易所最新的业务进展</w:t>
            </w:r>
          </w:p>
          <w:p w:rsidR="00264BF7" w:rsidRDefault="00264BF7" w:rsidP="00264BF7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交易所的项目</w:t>
            </w:r>
            <w:proofErr w:type="gramStart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上币要求</w:t>
            </w:r>
            <w:proofErr w:type="gramEnd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以便提前准备相关工作</w:t>
            </w:r>
          </w:p>
          <w:p w:rsidR="00264BF7" w:rsidRDefault="00264BF7" w:rsidP="00264BF7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交易所的</w:t>
            </w:r>
            <w:proofErr w:type="gramStart"/>
            <w:r w:rsidR="007059E9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上币费用</w:t>
            </w:r>
            <w:proofErr w:type="gramEnd"/>
            <w:r w:rsidR="007059E9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要求</w:t>
            </w:r>
          </w:p>
          <w:p w:rsidR="007059E9" w:rsidRPr="00264BF7" w:rsidRDefault="002A7EAC" w:rsidP="00264BF7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交易所</w:t>
            </w:r>
            <w:proofErr w:type="gramStart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负责上币的</w:t>
            </w:r>
            <w:proofErr w:type="gramEnd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项目负责人对接咨询</w:t>
            </w:r>
          </w:p>
        </w:tc>
      </w:tr>
      <w:tr w:rsidR="00E163C6" w:rsidRPr="0030010F" w:rsidTr="009142F9">
        <w:trPr>
          <w:trHeight w:val="1418"/>
        </w:trPr>
        <w:tc>
          <w:tcPr>
            <w:tcW w:w="1124" w:type="dxa"/>
            <w:vMerge/>
            <w:shd w:val="clear" w:color="auto" w:fill="auto"/>
            <w:vAlign w:val="center"/>
          </w:tcPr>
          <w:p w:rsidR="00E163C6" w:rsidRPr="0030010F" w:rsidRDefault="00E163C6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163C6" w:rsidRDefault="00E163C6" w:rsidP="009142F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律</w:t>
            </w:r>
            <w:proofErr w:type="gramStart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所资源</w:t>
            </w:r>
            <w:proofErr w:type="gramEnd"/>
          </w:p>
        </w:tc>
        <w:tc>
          <w:tcPr>
            <w:tcW w:w="4906" w:type="dxa"/>
            <w:gridSpan w:val="2"/>
            <w:shd w:val="clear" w:color="auto" w:fill="auto"/>
            <w:vAlign w:val="center"/>
          </w:tcPr>
          <w:p w:rsidR="00264BF7" w:rsidRDefault="00E163C6" w:rsidP="009142F9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合作的律师来源于</w:t>
            </w:r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竞天公诚、</w:t>
            </w:r>
            <w:proofErr w:type="gramStart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美迈斯</w:t>
            </w:r>
            <w:proofErr w:type="gramEnd"/>
            <w:r w:rsidRPr="0030010F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 xml:space="preserve"> O'Melveny 等国内外知名律师事务所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，还包括首位发明VIE架构的律师O</w:t>
            </w:r>
            <w:r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  <w:t>mer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，可以提供合</w:t>
            </w:r>
            <w:proofErr w:type="gramStart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规</w:t>
            </w:r>
            <w:proofErr w:type="gramEnd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方案操作、申请豁免、KYC</w:t>
            </w:r>
            <w:r>
              <w:rPr>
                <w:rFonts w:ascii="华文楷体" w:eastAsia="华文楷体" w:hAnsi="华文楷体" w:cs="宋体"/>
                <w:kern w:val="0"/>
                <w:sz w:val="16"/>
                <w:szCs w:val="18"/>
              </w:rPr>
              <w:t>/AML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、合格投资人认定等全流程法律合</w:t>
            </w:r>
            <w:proofErr w:type="gramStart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规</w:t>
            </w:r>
            <w:proofErr w:type="gramEnd"/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服务</w:t>
            </w:r>
            <w:r w:rsidR="00264BF7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；</w:t>
            </w:r>
          </w:p>
        </w:tc>
      </w:tr>
    </w:tbl>
    <w:p w:rsidR="0030010F" w:rsidRDefault="0030010F"/>
    <w:p w:rsidR="002A7EAC" w:rsidRDefault="002A7EAC"/>
    <w:p w:rsidR="00E35FF4" w:rsidRDefault="00E35FF4"/>
    <w:p w:rsidR="00E35FF4" w:rsidRDefault="00E35FF4"/>
    <w:p w:rsidR="00E35FF4" w:rsidRDefault="00E35FF4">
      <w:pPr>
        <w:rPr>
          <w:rFonts w:ascii="华文楷体" w:eastAsia="华文楷体" w:hAnsi="华文楷体" w:cs="宋体"/>
          <w:kern w:val="0"/>
          <w:sz w:val="16"/>
          <w:szCs w:val="18"/>
        </w:rPr>
      </w:pPr>
    </w:p>
    <w:p w:rsidR="00E35FF4" w:rsidRPr="00C008BE" w:rsidRDefault="00E35FF4" w:rsidP="00C60548">
      <w:pPr>
        <w:jc w:val="center"/>
        <w:rPr>
          <w:rFonts w:hint="eastAsia"/>
          <w:b/>
          <w:sz w:val="24"/>
        </w:rPr>
      </w:pPr>
      <w:r w:rsidRPr="008C301D">
        <w:rPr>
          <w:rFonts w:ascii="华文楷体" w:eastAsia="华文楷体" w:hAnsi="华文楷体" w:cs="宋体"/>
          <w:b/>
          <w:kern w:val="0"/>
          <w:sz w:val="20"/>
          <w:szCs w:val="18"/>
        </w:rPr>
        <w:lastRenderedPageBreak/>
        <w:t>Security Token金融模型设计</w:t>
      </w:r>
    </w:p>
    <w:tbl>
      <w:tblPr>
        <w:tblW w:w="821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868"/>
        <w:gridCol w:w="6636"/>
      </w:tblGrid>
      <w:tr w:rsidR="006E641C" w:rsidRPr="008C301D" w:rsidTr="00E54300">
        <w:trPr>
          <w:trHeight w:val="1243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6E641C" w:rsidRDefault="006E641C" w:rsidP="00EF590E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估值定价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前期</w:t>
            </w:r>
            <w:r w:rsidR="00E54300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信息搜集</w:t>
            </w:r>
          </w:p>
        </w:tc>
        <w:tc>
          <w:tcPr>
            <w:tcW w:w="6636" w:type="dxa"/>
            <w:shd w:val="clear" w:color="auto" w:fill="auto"/>
            <w:noWrap/>
            <w:vAlign w:val="center"/>
          </w:tcPr>
          <w:p w:rsidR="006E641C" w:rsidRPr="006E641C" w:rsidRDefault="004E5541" w:rsidP="00C60548">
            <w:pPr>
              <w:pStyle w:val="a4"/>
              <w:spacing w:before="0" w:beforeAutospacing="0" w:after="0" w:afterAutospacing="0"/>
              <w:rPr>
                <w:rFonts w:ascii="华文楷体" w:eastAsia="华文楷体" w:hAnsi="华文楷体" w:hint="eastAsia"/>
                <w:sz w:val="16"/>
                <w:szCs w:val="18"/>
              </w:rPr>
            </w:pPr>
            <w:r>
              <w:rPr>
                <w:rFonts w:ascii="华文楷体" w:eastAsia="华文楷体" w:hAnsi="华文楷体" w:hint="eastAsia"/>
                <w:sz w:val="16"/>
                <w:szCs w:val="18"/>
              </w:rPr>
              <w:t>对208个项目的基本</w:t>
            </w:r>
            <w:r w:rsidR="008323F6">
              <w:rPr>
                <w:rFonts w:ascii="华文楷体" w:eastAsia="华文楷体" w:hAnsi="华文楷体" w:hint="eastAsia"/>
                <w:sz w:val="16"/>
                <w:szCs w:val="18"/>
              </w:rPr>
              <w:t>信息进行</w:t>
            </w:r>
            <w:r w:rsidR="00947696">
              <w:rPr>
                <w:rFonts w:ascii="华文楷体" w:eastAsia="华文楷体" w:hAnsi="华文楷体" w:hint="eastAsia"/>
                <w:sz w:val="16"/>
                <w:szCs w:val="18"/>
              </w:rPr>
              <w:t>基础调研，</w:t>
            </w:r>
            <w:r w:rsidR="00E54300">
              <w:rPr>
                <w:rFonts w:ascii="华文楷体" w:eastAsia="华文楷体" w:hAnsi="华文楷体" w:hint="eastAsia"/>
                <w:sz w:val="16"/>
                <w:szCs w:val="18"/>
              </w:rPr>
              <w:t>包括：1）项目所在领域、投资时间、投资金额、最近融资时间及融资金额、目前公司估值、营业收入及利润情况；2）公司所在行业的发展趋势研究，及行业地位，确定公司未来的发展预期</w:t>
            </w:r>
          </w:p>
        </w:tc>
      </w:tr>
      <w:tr w:rsidR="006E641C" w:rsidRPr="00A73BB5" w:rsidTr="00614045">
        <w:trPr>
          <w:trHeight w:val="1972"/>
        </w:trPr>
        <w:tc>
          <w:tcPr>
            <w:tcW w:w="708" w:type="dxa"/>
            <w:vMerge/>
            <w:shd w:val="clear" w:color="auto" w:fill="auto"/>
            <w:vAlign w:val="center"/>
          </w:tcPr>
          <w:p w:rsidR="006E641C" w:rsidRPr="008C301D" w:rsidRDefault="006E641C" w:rsidP="008C301D">
            <w:pPr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净资产估值法</w:t>
            </w:r>
          </w:p>
        </w:tc>
        <w:tc>
          <w:tcPr>
            <w:tcW w:w="6636" w:type="dxa"/>
            <w:shd w:val="clear" w:color="auto" w:fill="auto"/>
            <w:noWrap/>
            <w:vAlign w:val="center"/>
            <w:hideMark/>
          </w:tcPr>
          <w:p w:rsidR="006E641C" w:rsidRPr="006E641C" w:rsidRDefault="006E641C" w:rsidP="00C60548">
            <w:pPr>
              <w:pStyle w:val="a4"/>
              <w:spacing w:before="0" w:beforeAutospacing="0" w:after="0" w:afterAutospacing="0"/>
              <w:rPr>
                <w:rFonts w:ascii="华文楷体" w:eastAsia="华文楷体" w:hAnsi="华文楷体"/>
                <w:sz w:val="16"/>
                <w:szCs w:val="18"/>
              </w:rPr>
            </w:pPr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通过对由</w:t>
            </w:r>
            <w:proofErr w:type="gramStart"/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洪泰智</w:t>
            </w:r>
            <w:proofErr w:type="gramEnd"/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造持有的208个项目的股权收益权（Right of Return on Equity 20%）和未来新投资的项目的股权收益权（20%）构成：</w:t>
            </w:r>
          </w:p>
          <w:p w:rsidR="006E641C" w:rsidRPr="006E641C" w:rsidRDefault="006E641C" w:rsidP="00A73BB5">
            <w:pPr>
              <w:pStyle w:val="a4"/>
              <w:spacing w:before="0" w:beforeAutospacing="0" w:after="0" w:afterAutospacing="0"/>
              <w:rPr>
                <w:rFonts w:ascii="华文楷体" w:eastAsia="华文楷体" w:hAnsi="华文楷体"/>
                <w:sz w:val="16"/>
                <w:szCs w:val="18"/>
              </w:rPr>
            </w:pPr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阶段</w:t>
            </w:r>
            <w:proofErr w:type="gramStart"/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一</w:t>
            </w:r>
            <w:proofErr w:type="gramEnd"/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：208个项目的股权收益权（20%）</w:t>
            </w:r>
          </w:p>
          <w:p w:rsidR="006E641C" w:rsidRPr="008C301D" w:rsidRDefault="006E641C" w:rsidP="00A73BB5">
            <w:pPr>
              <w:pStyle w:val="a4"/>
              <w:spacing w:before="0" w:beforeAutospacing="0" w:after="0" w:afterAutospacing="0"/>
              <w:rPr>
                <w:rFonts w:ascii="华文楷体" w:eastAsia="华文楷体" w:hAnsi="华文楷体" w:hint="eastAsia"/>
                <w:sz w:val="16"/>
                <w:szCs w:val="18"/>
              </w:rPr>
            </w:pPr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阶段二：未来新投资项目的股权收益权（20%）。计算整体NAV的方法，将</w:t>
            </w:r>
            <w:proofErr w:type="gramStart"/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洪泰智</w:t>
            </w:r>
            <w:proofErr w:type="gramEnd"/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造SPV的在</w:t>
            </w:r>
            <w:r w:rsidR="00A73BB5">
              <w:rPr>
                <w:rFonts w:ascii="华文楷体" w:eastAsia="华文楷体" w:hAnsi="华文楷体" w:hint="eastAsia"/>
                <w:sz w:val="16"/>
                <w:szCs w:val="18"/>
              </w:rPr>
              <w:t>第</w:t>
            </w:r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一和</w:t>
            </w:r>
            <w:r w:rsidR="00A73BB5">
              <w:rPr>
                <w:rFonts w:ascii="华文楷体" w:eastAsia="华文楷体" w:hAnsi="华文楷体" w:hint="eastAsia"/>
                <w:sz w:val="16"/>
                <w:szCs w:val="18"/>
              </w:rPr>
              <w:t>第</w:t>
            </w:r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二阶段的NAV加和，便可整体的 NAV ，公式如下：NAVSPV=</w:t>
            </w:r>
            <m:oMath>
              <m:nary>
                <m:naryPr>
                  <m:chr m:val="∑"/>
                  <m:ctrlPr>
                    <w:rPr>
                      <w:rFonts w:ascii="Cambria Math" w:eastAsia="华文楷体" w:hAnsi="Cambria Math"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华文楷体" w:hAnsi="Cambria Math"/>
                      <w:sz w:val="16"/>
                      <w:szCs w:val="1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16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eastAsia="华文楷体" w:hAnsi="Cambria Math"/>
                      <w:sz w:val="16"/>
                      <w:szCs w:val="18"/>
                    </w:rPr>
                    <m:t>J</m:t>
                  </m:r>
                </m:sup>
                <m:e>
                  <m:r>
                    <w:rPr>
                      <w:rFonts w:ascii="Cambria Math" w:eastAsia="华文楷体" w:hAnsi="Cambria Math"/>
                      <w:sz w:val="16"/>
                      <w:szCs w:val="18"/>
                    </w:rPr>
                    <m:t>NAV</m:t>
                  </m:r>
                  <m:d>
                    <m:dPr>
                      <m:ctrlP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  <m:t>RREi</m:t>
                      </m:r>
                    </m:e>
                  </m:d>
                  <m:r>
                    <m:rPr>
                      <m:nor/>
                    </m:rPr>
                    <w:rPr>
                      <w:rFonts w:ascii="华文楷体" w:eastAsia="华文楷体" w:hAnsi="华文楷体" w:hint="eastAsia"/>
                      <w:sz w:val="16"/>
                      <w:szCs w:val="18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  <m:t>=2</m:t>
                      </m:r>
                    </m:sub>
                    <m:sup>
                      <m: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  <m:t>J</m:t>
                      </m:r>
                    </m:sup>
                    <m:e>
                      <m: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  <m:t>NAV</m:t>
                      </m:r>
                      <m:d>
                        <m:dPr>
                          <m:ctrlPr>
                            <w:rPr>
                              <w:rFonts w:ascii="Cambria Math" w:eastAsia="华文楷体" w:hAnsi="Cambria Math"/>
                              <w:sz w:val="16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华文楷体" w:hAnsi="Cambria Math"/>
                              <w:sz w:val="16"/>
                              <w:szCs w:val="18"/>
                            </w:rPr>
                            <m:t>RREj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华文楷体" w:eastAsia="华文楷体" w:hAnsi="华文楷体" w:hint="eastAsia"/>
                          <w:sz w:val="16"/>
                          <w:szCs w:val="1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  <m:t>…</m:t>
                      </m:r>
                      <m:r>
                        <m:rPr>
                          <m:nor/>
                        </m:rPr>
                        <w:rPr>
                          <w:rFonts w:ascii="华文楷体" w:eastAsia="华文楷体" w:hAnsi="华文楷体" w:hint="eastAsia"/>
                          <w:sz w:val="16"/>
                          <w:szCs w:val="18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华文楷体" w:hAnsi="Cambria Math"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华文楷体" w:hAnsi="Cambria Math"/>
                              <w:sz w:val="16"/>
                              <w:szCs w:val="1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Cambria Math"/>
                              <w:sz w:val="16"/>
                              <w:szCs w:val="18"/>
                            </w:rPr>
                            <m:t>=208</m:t>
                          </m:r>
                        </m:sub>
                        <m:sup>
                          <m:r>
                            <w:rPr>
                              <w:rFonts w:ascii="Cambria Math" w:eastAsia="华文楷体" w:hAnsi="Cambria Math"/>
                              <w:sz w:val="16"/>
                              <w:szCs w:val="18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eastAsia="华文楷体" w:hAnsi="Cambria Math"/>
                              <w:sz w:val="16"/>
                              <w:szCs w:val="18"/>
                            </w:rPr>
                            <m:t>NAV</m:t>
                          </m:r>
                          <m:d>
                            <m:dPr>
                              <m:ctrlPr>
                                <w:rPr>
                                  <w:rFonts w:ascii="Cambria Math" w:eastAsia="华文楷体" w:hAnsi="Cambria Math"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华文楷体" w:hAnsi="Cambria Math"/>
                                  <w:sz w:val="16"/>
                                  <w:szCs w:val="18"/>
                                </w:rPr>
                                <m:t>RREk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oMath>
            <w:r w:rsidRPr="006E641C">
              <w:rPr>
                <w:rFonts w:ascii="华文楷体" w:eastAsia="华文楷体" w:hAnsi="华文楷体" w:hint="eastAsia"/>
                <w:sz w:val="16"/>
                <w:szCs w:val="18"/>
              </w:rPr>
              <w:t>+</w:t>
            </w:r>
            <m:oMath>
              <m:nary>
                <m:naryPr>
                  <m:chr m:val="∑"/>
                  <m:ctrlPr>
                    <w:rPr>
                      <w:rFonts w:ascii="Cambria Math" w:eastAsia="华文楷体" w:hAnsi="Cambria Math"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华文楷体" w:hAnsi="Cambria Math"/>
                      <w:sz w:val="16"/>
                      <w:szCs w:val="1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华文楷体" w:hAnsi="Cambria Math"/>
                      <w:sz w:val="16"/>
                      <w:szCs w:val="18"/>
                    </w:rPr>
                    <m:t>=</m:t>
                  </m:r>
                  <m:r>
                    <w:rPr>
                      <w:rFonts w:ascii="Cambria Math" w:eastAsia="华文楷体" w:hAnsi="Cambria Math"/>
                      <w:sz w:val="16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eastAsia="华文楷体" w:hAnsi="Cambria Math"/>
                      <w:sz w:val="16"/>
                      <w:szCs w:val="18"/>
                    </w:rPr>
                    <m:t>L</m:t>
                  </m:r>
                </m:sup>
                <m:e>
                  <m:r>
                    <w:rPr>
                      <w:rFonts w:ascii="Cambria Math" w:eastAsia="华文楷体" w:hAnsi="Cambria Math"/>
                      <w:sz w:val="16"/>
                      <w:szCs w:val="18"/>
                    </w:rPr>
                    <m:t>NAV</m:t>
                  </m:r>
                  <m:d>
                    <m:dPr>
                      <m:ctrlP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/>
                          <w:sz w:val="16"/>
                          <w:szCs w:val="18"/>
                        </w:rPr>
                        <m:t>RREL</m:t>
                      </m:r>
                    </m:e>
                  </m:d>
                </m:e>
              </m:nary>
            </m:oMath>
          </w:p>
        </w:tc>
      </w:tr>
      <w:tr w:rsidR="006E641C" w:rsidRPr="009A5E03" w:rsidTr="00614045">
        <w:trPr>
          <w:trHeight w:val="1404"/>
        </w:trPr>
        <w:tc>
          <w:tcPr>
            <w:tcW w:w="708" w:type="dxa"/>
            <w:vMerge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EV/EBIT 估值法</w:t>
            </w:r>
          </w:p>
        </w:tc>
        <w:tc>
          <w:tcPr>
            <w:tcW w:w="6636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通过企业价值倍数法，我们选择</w:t>
            </w:r>
            <w:proofErr w:type="gramStart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息</w:t>
            </w:r>
            <w:proofErr w:type="gramEnd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税前利润（EBIT）作为比较值，由于 EBIT 是扣除了债权人的回报（利息费用）之前的利润，所以所有出资人对于该利润的形成都有不可分割的贡献，都享有分配权，所以该利润对映的就是企业价值。参照公式如下：</w:t>
            </w: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br/>
              <w:t>企业价值（EV）=EBIT×（EV/EBIT倍数）</w:t>
            </w:r>
          </w:p>
        </w:tc>
      </w:tr>
      <w:tr w:rsidR="006E641C" w:rsidRPr="008C301D" w:rsidTr="00614045">
        <w:trPr>
          <w:trHeight w:val="1117"/>
        </w:trPr>
        <w:tc>
          <w:tcPr>
            <w:tcW w:w="708" w:type="dxa"/>
            <w:vMerge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净资产累加估值法</w:t>
            </w:r>
          </w:p>
        </w:tc>
        <w:tc>
          <w:tcPr>
            <w:tcW w:w="6636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通过对</w:t>
            </w:r>
            <w:proofErr w:type="gramStart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洪泰智</w:t>
            </w:r>
            <w:proofErr w:type="gramEnd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造所投项目过去三年和未来三年的净资产进行评估，得到</w:t>
            </w:r>
            <w:proofErr w:type="gramStart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洪泰智</w:t>
            </w:r>
            <w:proofErr w:type="gramEnd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造近六年不同年份的净资产数额，这种</w:t>
            </w:r>
            <w:proofErr w:type="gramStart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净资产累价估值</w:t>
            </w:r>
            <w:proofErr w:type="gramEnd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方法较为直观和明显的表现了</w:t>
            </w:r>
            <w:proofErr w:type="gramStart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洪泰智造投资</w:t>
            </w:r>
            <w:proofErr w:type="gramEnd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价值的提升，具有较大估值参考意义。</w:t>
            </w:r>
          </w:p>
        </w:tc>
      </w:tr>
      <w:tr w:rsidR="006E641C" w:rsidRPr="008C301D" w:rsidTr="00614045">
        <w:trPr>
          <w:trHeight w:val="1549"/>
        </w:trPr>
        <w:tc>
          <w:tcPr>
            <w:tcW w:w="708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Security Token 的数量的确定</w:t>
            </w: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Token 发行的总数量</w:t>
            </w:r>
          </w:p>
        </w:tc>
        <w:tc>
          <w:tcPr>
            <w:tcW w:w="6636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Token 发行的总量</w:t>
            </w:r>
            <w:proofErr w:type="gramStart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与不仅</w:t>
            </w:r>
            <w:proofErr w:type="gramEnd"/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与发行方的估值水平、Token 单个价值成的比例关系，还与发行规划中的发行顺序和不同阶段的投资者范围息息相关， Token 数量的最终确定对于发行 Token的价格稳定以及发行成功与否影响很大。</w:t>
            </w:r>
          </w:p>
        </w:tc>
      </w:tr>
      <w:tr w:rsidR="006E641C" w:rsidRPr="008C301D" w:rsidTr="00614045">
        <w:trPr>
          <w:trHeight w:val="2010"/>
        </w:trPr>
        <w:tc>
          <w:tcPr>
            <w:tcW w:w="708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Security Token 的发售计划</w:t>
            </w:r>
          </w:p>
        </w:tc>
        <w:tc>
          <w:tcPr>
            <w:tcW w:w="868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6636" w:type="dxa"/>
            <w:shd w:val="clear" w:color="auto" w:fill="auto"/>
            <w:vAlign w:val="center"/>
            <w:hideMark/>
          </w:tcPr>
          <w:p w:rsidR="006E641C" w:rsidRPr="008C301D" w:rsidRDefault="006E641C" w:rsidP="008C301D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</w:pPr>
            <w:r w:rsidRPr="008C301D">
              <w:rPr>
                <w:rFonts w:ascii="华文楷体" w:eastAsia="华文楷体" w:hAnsi="华文楷体" w:cs="宋体" w:hint="eastAsia"/>
                <w:kern w:val="0"/>
                <w:sz w:val="16"/>
                <w:szCs w:val="18"/>
              </w:rPr>
              <w:t>Security Token 的发售通常不是一次性发售，而是通过预售和正式发行两部分相结合进行发售，其中不同的项目发行方会根据自己的实际情况进行相应的调整，可能不局限于预售和正式发售两个环节，而是进行多次的发售，这取决于发行方对于自身的判断，也可以交由第三方机构进行判断。</w:t>
            </w:r>
          </w:p>
        </w:tc>
      </w:tr>
    </w:tbl>
    <w:p w:rsidR="008C301D" w:rsidRDefault="008C301D"/>
    <w:p w:rsidR="009A5E03" w:rsidRDefault="009A5E03"/>
    <w:p w:rsidR="009A5E03" w:rsidRDefault="009A5E03"/>
    <w:p w:rsidR="009A5E03" w:rsidRDefault="009A5E03"/>
    <w:p w:rsidR="009A5E03" w:rsidRDefault="009A5E03"/>
    <w:p w:rsidR="009A5E03" w:rsidRDefault="009A5E03">
      <w:pPr>
        <w:rPr>
          <w:rFonts w:hint="eastAsia"/>
        </w:rPr>
      </w:pPr>
    </w:p>
    <w:p w:rsidR="008C301D" w:rsidRDefault="008C301D"/>
    <w:p w:rsidR="008C301D" w:rsidRDefault="001713CF">
      <w:pPr>
        <w:rPr>
          <w:rFonts w:hint="eastAsia"/>
        </w:rPr>
      </w:pPr>
      <w:r w:rsidRPr="002A7EAC">
        <w:rPr>
          <w:rFonts w:ascii="华文楷体" w:eastAsia="华文楷体" w:hAnsi="华文楷体" w:cs="宋体"/>
          <w:kern w:val="0"/>
          <w:sz w:val="16"/>
          <w:szCs w:val="18"/>
          <w:shd w:val="clear" w:color="auto" w:fill="FFFFFF" w:themeFill="background1"/>
        </w:rPr>
        <w:t>SAFE募集说明书（中英文版）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806"/>
      </w:tblGrid>
      <w:tr w:rsidR="001713CF" w:rsidRPr="002A7EAC" w:rsidTr="00B37DD9">
        <w:trPr>
          <w:trHeight w:val="1691"/>
        </w:trPr>
        <w:tc>
          <w:tcPr>
            <w:tcW w:w="2127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发行人</w:t>
            </w: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基本情况</w:t>
            </w:r>
          </w:p>
        </w:tc>
        <w:tc>
          <w:tcPr>
            <w:tcW w:w="5806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发行人基本情况包括公司的历史沿革、名称及注册资本的变化，控股股东及实际控制人的变动情况以及相关的、目前存续的重要投资的介绍情况，对于投资者和监管机构了解项目本身有着重要的参考意义。</w:t>
            </w:r>
          </w:p>
        </w:tc>
      </w:tr>
      <w:tr w:rsidR="001713CF" w:rsidRPr="002A7EAC" w:rsidTr="00B37DD9">
        <w:trPr>
          <w:trHeight w:val="1417"/>
        </w:trPr>
        <w:tc>
          <w:tcPr>
            <w:tcW w:w="2127" w:type="dxa"/>
            <w:shd w:val="clear" w:color="auto" w:fill="auto"/>
            <w:vAlign w:val="center"/>
            <w:hideMark/>
          </w:tcPr>
          <w:p w:rsidR="001713CF" w:rsidRDefault="001713CF" w:rsidP="00BA4839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lastRenderedPageBreak/>
              <w:t>主要业务情况</w:t>
            </w:r>
          </w:p>
          <w:p w:rsidR="001713CF" w:rsidRPr="002A7EAC" w:rsidRDefault="001713CF" w:rsidP="002A7EAC">
            <w:pPr>
              <w:rPr>
                <w:rFonts w:ascii="华文楷体" w:eastAsia="华文楷体" w:hAnsi="华文楷体" w:cs="宋体" w:hint="eastAsia"/>
                <w:sz w:val="16"/>
                <w:szCs w:val="18"/>
              </w:rPr>
            </w:pPr>
          </w:p>
        </w:tc>
        <w:tc>
          <w:tcPr>
            <w:tcW w:w="5806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发行人的主要业务情况对于项目能否最终实现盈利，投资人能否实现投资收益有着重要的影响，并且考虑到由于存在项目收益无法达到预期的风险，在募集说明书中需要对发行人的业务情况予以说明和风险告知。</w:t>
            </w:r>
          </w:p>
        </w:tc>
      </w:tr>
      <w:tr w:rsidR="001713CF" w:rsidRPr="002A7EAC" w:rsidTr="00B37DD9">
        <w:trPr>
          <w:trHeight w:val="1397"/>
        </w:trPr>
        <w:tc>
          <w:tcPr>
            <w:tcW w:w="2127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发行计划</w:t>
            </w:r>
          </w:p>
        </w:tc>
        <w:tc>
          <w:tcPr>
            <w:tcW w:w="5806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ST的发行</w:t>
            </w: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数量、价格、分红模型、回购模型、发行轮次及对应的价格，SAFE的限制条款、投票权说明、流动性说明、潜在的功能型Token属性</w:t>
            </w:r>
          </w:p>
        </w:tc>
      </w:tr>
      <w:tr w:rsidR="001713CF" w:rsidRPr="002A7EAC" w:rsidTr="00B37DD9">
        <w:trPr>
          <w:trHeight w:val="850"/>
        </w:trPr>
        <w:tc>
          <w:tcPr>
            <w:tcW w:w="2127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募资说明</w:t>
            </w:r>
          </w:p>
        </w:tc>
        <w:tc>
          <w:tcPr>
            <w:tcW w:w="5806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募资规模、资金使用计划及分配比例、适用的法规说明，以及全球投资人的要求及税收要求</w:t>
            </w:r>
          </w:p>
        </w:tc>
      </w:tr>
      <w:tr w:rsidR="001713CF" w:rsidRPr="002A7EAC" w:rsidTr="00B37DD9">
        <w:trPr>
          <w:trHeight w:val="1115"/>
        </w:trPr>
        <w:tc>
          <w:tcPr>
            <w:tcW w:w="2127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风险揭示</w:t>
            </w:r>
          </w:p>
        </w:tc>
        <w:tc>
          <w:tcPr>
            <w:tcW w:w="5806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公司及业务风险说明，包括不限于公司业务、募资过程、SAFE的投资风险、税务风险、价格波动等方面的风险深度揭示及说明</w:t>
            </w:r>
          </w:p>
        </w:tc>
      </w:tr>
      <w:tr w:rsidR="001713CF" w:rsidRPr="002A7EAC" w:rsidTr="00B37DD9">
        <w:trPr>
          <w:trHeight w:val="980"/>
        </w:trPr>
        <w:tc>
          <w:tcPr>
            <w:tcW w:w="2127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财务报告及财务状况</w:t>
            </w:r>
          </w:p>
        </w:tc>
        <w:tc>
          <w:tcPr>
            <w:tcW w:w="5806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将财务审计报告按照招股</w:t>
            </w:r>
            <w:proofErr w:type="gramStart"/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书说明</w:t>
            </w:r>
            <w:proofErr w:type="gramEnd"/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整理及分析，以及关键数据说明和附注，未来预期收入及利润增长的合理化预测</w:t>
            </w:r>
          </w:p>
        </w:tc>
      </w:tr>
      <w:tr w:rsidR="001713CF" w:rsidRPr="002A7EAC" w:rsidTr="00B37DD9">
        <w:trPr>
          <w:trHeight w:val="838"/>
        </w:trPr>
        <w:tc>
          <w:tcPr>
            <w:tcW w:w="2127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管理</w:t>
            </w:r>
            <w:proofErr w:type="gramStart"/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层信息</w:t>
            </w:r>
            <w:proofErr w:type="gramEnd"/>
          </w:p>
        </w:tc>
        <w:tc>
          <w:tcPr>
            <w:tcW w:w="5806" w:type="dxa"/>
            <w:shd w:val="clear" w:color="auto" w:fill="auto"/>
            <w:vAlign w:val="center"/>
            <w:hideMark/>
          </w:tcPr>
          <w:p w:rsidR="001713CF" w:rsidRPr="002A7EAC" w:rsidRDefault="00B37DD9" w:rsidP="002A7EAC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整理</w:t>
            </w:r>
            <w:r w:rsidR="001713CF"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公司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的</w:t>
            </w:r>
            <w:r w:rsidR="001713CF"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管理层、董事会成员背景介绍，包括顾问信息</w:t>
            </w:r>
            <w:r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，同时提炼亮点</w:t>
            </w:r>
          </w:p>
        </w:tc>
      </w:tr>
      <w:tr w:rsidR="001713CF" w:rsidRPr="002A7EAC" w:rsidTr="00B37DD9">
        <w:trPr>
          <w:trHeight w:val="978"/>
        </w:trPr>
        <w:tc>
          <w:tcPr>
            <w:tcW w:w="2127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center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业务发展及规划信息</w:t>
            </w:r>
          </w:p>
        </w:tc>
        <w:tc>
          <w:tcPr>
            <w:tcW w:w="5806" w:type="dxa"/>
            <w:shd w:val="clear" w:color="auto" w:fill="auto"/>
            <w:vAlign w:val="center"/>
            <w:hideMark/>
          </w:tcPr>
          <w:p w:rsidR="001713CF" w:rsidRPr="002A7EAC" w:rsidRDefault="001713CF" w:rsidP="002A7EAC">
            <w:pPr>
              <w:widowControl/>
              <w:jc w:val="left"/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</w:pPr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公司未来的业务发展规划、战略布局、与</w:t>
            </w:r>
            <w:proofErr w:type="gramStart"/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国内洪泰智造之间</w:t>
            </w:r>
            <w:proofErr w:type="gramEnd"/>
            <w:r w:rsidRPr="002A7EAC">
              <w:rPr>
                <w:rFonts w:ascii="华文楷体" w:eastAsia="华文楷体" w:hAnsi="华文楷体" w:cs="宋体" w:hint="eastAsia"/>
                <w:kern w:val="0"/>
                <w:sz w:val="16"/>
                <w:szCs w:val="18"/>
                <w:shd w:val="clear" w:color="auto" w:fill="FFFFFF" w:themeFill="background1"/>
              </w:rPr>
              <w:t>的关系说明</w:t>
            </w:r>
          </w:p>
        </w:tc>
      </w:tr>
    </w:tbl>
    <w:p w:rsidR="002A7EAC" w:rsidRDefault="002A7EAC">
      <w:pPr>
        <w:rPr>
          <w:rFonts w:ascii="华文楷体" w:eastAsia="华文楷体" w:hAnsi="华文楷体" w:cs="宋体"/>
          <w:kern w:val="0"/>
          <w:sz w:val="16"/>
          <w:szCs w:val="18"/>
          <w:shd w:val="clear" w:color="auto" w:fill="FFFFFF" w:themeFill="background1"/>
        </w:rPr>
      </w:pPr>
    </w:p>
    <w:p w:rsidR="00227720" w:rsidRDefault="00227720">
      <w:pPr>
        <w:rPr>
          <w:rFonts w:ascii="华文楷体" w:eastAsia="华文楷体" w:hAnsi="华文楷体" w:cs="宋体"/>
          <w:kern w:val="0"/>
          <w:sz w:val="16"/>
          <w:szCs w:val="18"/>
          <w:shd w:val="clear" w:color="auto" w:fill="FFFFFF" w:themeFill="background1"/>
        </w:rPr>
      </w:pPr>
    </w:p>
    <w:p w:rsidR="00227720" w:rsidRDefault="00227720">
      <w:pPr>
        <w:rPr>
          <w:rFonts w:ascii="华文楷体" w:eastAsia="华文楷体" w:hAnsi="华文楷体" w:cs="宋体"/>
          <w:kern w:val="0"/>
          <w:sz w:val="16"/>
          <w:szCs w:val="18"/>
          <w:shd w:val="clear" w:color="auto" w:fill="FFFFFF" w:themeFill="background1"/>
        </w:rPr>
      </w:pPr>
    </w:p>
    <w:bookmarkEnd w:id="0"/>
    <w:bookmarkEnd w:id="1"/>
    <w:p w:rsidR="00227720" w:rsidRPr="002A7EAC" w:rsidRDefault="00227720">
      <w:pPr>
        <w:rPr>
          <w:rFonts w:ascii="华文楷体" w:eastAsia="华文楷体" w:hAnsi="华文楷体" w:cs="宋体" w:hint="eastAsia"/>
          <w:kern w:val="0"/>
          <w:sz w:val="16"/>
          <w:szCs w:val="18"/>
          <w:shd w:val="clear" w:color="auto" w:fill="FFFFFF" w:themeFill="background1"/>
        </w:rPr>
      </w:pPr>
    </w:p>
    <w:sectPr w:rsidR="00227720" w:rsidRPr="002A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C7703"/>
    <w:multiLevelType w:val="hybridMultilevel"/>
    <w:tmpl w:val="24761736"/>
    <w:lvl w:ilvl="0" w:tplc="61F0C5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F7A76"/>
    <w:multiLevelType w:val="hybridMultilevel"/>
    <w:tmpl w:val="BFCEE55C"/>
    <w:lvl w:ilvl="0" w:tplc="5CEAD9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5221EB"/>
    <w:multiLevelType w:val="hybridMultilevel"/>
    <w:tmpl w:val="D2C8DB2A"/>
    <w:lvl w:ilvl="0" w:tplc="49989C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0F"/>
    <w:rsid w:val="000373C8"/>
    <w:rsid w:val="000878D9"/>
    <w:rsid w:val="000945DD"/>
    <w:rsid w:val="00163EBF"/>
    <w:rsid w:val="001713CF"/>
    <w:rsid w:val="00227720"/>
    <w:rsid w:val="00236D67"/>
    <w:rsid w:val="002473F7"/>
    <w:rsid w:val="00264BF7"/>
    <w:rsid w:val="002A7EAC"/>
    <w:rsid w:val="0030010F"/>
    <w:rsid w:val="0037486B"/>
    <w:rsid w:val="003A75E8"/>
    <w:rsid w:val="003F7E04"/>
    <w:rsid w:val="0044689D"/>
    <w:rsid w:val="004E5541"/>
    <w:rsid w:val="0059121C"/>
    <w:rsid w:val="00614045"/>
    <w:rsid w:val="006E641C"/>
    <w:rsid w:val="006F039F"/>
    <w:rsid w:val="007059E9"/>
    <w:rsid w:val="00741A70"/>
    <w:rsid w:val="00763ACF"/>
    <w:rsid w:val="00786115"/>
    <w:rsid w:val="008323F6"/>
    <w:rsid w:val="008474AC"/>
    <w:rsid w:val="00862F39"/>
    <w:rsid w:val="00872BE3"/>
    <w:rsid w:val="008C301D"/>
    <w:rsid w:val="009142F9"/>
    <w:rsid w:val="00947696"/>
    <w:rsid w:val="009A5E03"/>
    <w:rsid w:val="00A73BB5"/>
    <w:rsid w:val="00B37DD9"/>
    <w:rsid w:val="00BA4839"/>
    <w:rsid w:val="00C008BE"/>
    <w:rsid w:val="00C60548"/>
    <w:rsid w:val="00CA694E"/>
    <w:rsid w:val="00CD59F8"/>
    <w:rsid w:val="00D67AAC"/>
    <w:rsid w:val="00E163C6"/>
    <w:rsid w:val="00E35FF4"/>
    <w:rsid w:val="00E4488B"/>
    <w:rsid w:val="00E54300"/>
    <w:rsid w:val="00E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F1AB"/>
  <w15:chartTrackingRefBased/>
  <w15:docId w15:val="{44A8305D-3F09-4122-B926-5E26264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86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C3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 Lee</dc:creator>
  <cp:keywords/>
  <dc:description/>
  <cp:lastModifiedBy>Blank Lee</cp:lastModifiedBy>
  <cp:revision>59</cp:revision>
  <dcterms:created xsi:type="dcterms:W3CDTF">2018-11-28T08:48:00Z</dcterms:created>
  <dcterms:modified xsi:type="dcterms:W3CDTF">2018-11-28T10:31:00Z</dcterms:modified>
</cp:coreProperties>
</file>