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FB" w:rsidRPr="0088522C" w:rsidRDefault="007739BC" w:rsidP="0088522C">
      <w:pPr>
        <w:jc w:val="center"/>
        <w:rPr>
          <w:b/>
          <w:sz w:val="48"/>
          <w:szCs w:val="48"/>
        </w:rPr>
      </w:pPr>
      <w:r w:rsidRPr="0088522C">
        <w:rPr>
          <w:rFonts w:hint="eastAsia"/>
          <w:b/>
          <w:sz w:val="48"/>
          <w:szCs w:val="48"/>
        </w:rPr>
        <w:t xml:space="preserve">STO </w:t>
      </w:r>
      <w:r w:rsidRPr="0088522C">
        <w:rPr>
          <w:rFonts w:hint="eastAsia"/>
          <w:b/>
          <w:sz w:val="48"/>
          <w:szCs w:val="48"/>
        </w:rPr>
        <w:t>笔记</w:t>
      </w:r>
    </w:p>
    <w:p w:rsidR="00863352" w:rsidRDefault="005B4127" w:rsidP="00863352">
      <w:pPr>
        <w:pStyle w:val="1"/>
        <w:rPr>
          <w:shd w:val="clear" w:color="auto" w:fill="FFFFFF"/>
        </w:rPr>
      </w:pPr>
      <w:hyperlink r:id="rId6" w:history="1">
        <w:r w:rsidR="00FF35D5" w:rsidRPr="00D321F2">
          <w:rPr>
            <w:rStyle w:val="aa"/>
            <w:shd w:val="clear" w:color="auto" w:fill="FFFFFF"/>
          </w:rPr>
          <w:t>www.finlaw.pku.edu.cn</w:t>
        </w:r>
      </w:hyperlink>
    </w:p>
    <w:p w:rsidR="00FF35D5" w:rsidRPr="007E190A" w:rsidRDefault="00FF35D5" w:rsidP="006F475B">
      <w:pPr>
        <w:pStyle w:val="2"/>
        <w:rPr>
          <w:shd w:val="clear" w:color="auto" w:fill="FFFFFF"/>
        </w:rPr>
      </w:pPr>
      <w:r w:rsidRPr="007E190A">
        <w:rPr>
          <w:rFonts w:hint="eastAsia"/>
          <w:shd w:val="clear" w:color="auto" w:fill="FFFFFF"/>
        </w:rPr>
        <w:t>从《</w:t>
      </w:r>
      <w:r w:rsidRPr="007E190A">
        <w:rPr>
          <w:rFonts w:hint="eastAsia"/>
          <w:shd w:val="clear" w:color="auto" w:fill="FFFFFF"/>
        </w:rPr>
        <w:t>A+</w:t>
      </w:r>
      <w:r w:rsidRPr="007E190A">
        <w:rPr>
          <w:rFonts w:hint="eastAsia"/>
          <w:shd w:val="clear" w:color="auto" w:fill="FFFFFF"/>
        </w:rPr>
        <w:t>条例》看美国小额发行豁免之</w:t>
      </w:r>
      <w:proofErr w:type="gramStart"/>
      <w:r w:rsidRPr="007E190A">
        <w:rPr>
          <w:rFonts w:hint="eastAsia"/>
          <w:shd w:val="clear" w:color="auto" w:fill="FFFFFF"/>
        </w:rPr>
        <w:t>殇</w:t>
      </w:r>
      <w:proofErr w:type="gramEnd"/>
    </w:p>
    <w:p w:rsidR="00CC047D" w:rsidRDefault="005B412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hyperlink r:id="rId7" w:history="1">
        <w:r w:rsidR="00CC047D"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http://www.finlaw.pku.edu.cn/zhongxinzixun/zuixinwenzhang/4759</w:t>
        </w:r>
      </w:hyperlink>
    </w:p>
    <w:p w:rsidR="000D7C7B" w:rsidRDefault="000D7C7B" w:rsidP="000D7C7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需要说明的重要概念</w:t>
      </w:r>
    </w:p>
    <w:p w:rsidR="000D7C7B" w:rsidRPr="0009392F" w:rsidRDefault="000D7C7B" w:rsidP="000D7C7B">
      <w:pPr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</w:t>
      </w:r>
      <w:r w:rsidRPr="0009392F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  </w:t>
      </w:r>
      <w:hyperlink w:anchor="_美国新股发行制度改革：JOBS法案的主要内容" w:history="1">
        <w:r w:rsidRPr="00F12858">
          <w:rPr>
            <w:rStyle w:val="aa"/>
            <w:rFonts w:ascii="Helvetica" w:hAnsi="Helvetica" w:hint="eastAsia"/>
            <w:b/>
            <w:sz w:val="20"/>
            <w:szCs w:val="20"/>
            <w:shd w:val="clear" w:color="auto" w:fill="FFFFFF"/>
          </w:rPr>
          <w:t>JOBS</w:t>
        </w:r>
      </w:hyperlink>
      <w:r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法案</w:t>
      </w:r>
    </w:p>
    <w:p w:rsidR="000D7C7B" w:rsidRDefault="000D7C7B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乔布斯法涉及的内容全面系统，包括对认定的新兴成长企业（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EGC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）简化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IPO</w:t>
      </w:r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发行程序、降低发行成本和信息披露义务；在私募、小额、</w:t>
      </w:r>
      <w:proofErr w:type="gramStart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众筹等</w:t>
      </w:r>
      <w:proofErr w:type="gramEnd"/>
      <w:r w:rsidRPr="007C3C84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发行方面改革注册豁免机制，增加发行便利性；提高成为公众公司的门槛等。</w:t>
      </w:r>
    </w:p>
    <w:p w:rsidR="000D7C7B" w:rsidRDefault="005B4127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hyperlink r:id="rId8" w:history="1">
        <w:r w:rsidR="000D7C7B" w:rsidRPr="00D321F2">
          <w:rPr>
            <w:rStyle w:val="aa"/>
            <w:rFonts w:ascii="Helvetica" w:hAnsi="Helvetica"/>
            <w:sz w:val="20"/>
            <w:szCs w:val="20"/>
            <w:shd w:val="clear" w:color="auto" w:fill="FFFFFF"/>
          </w:rPr>
          <w:t>http://www.csrc.gov.cn/pub/newsite/ztzl/yjbg/201406/t20140610_255815.html</w:t>
        </w:r>
      </w:hyperlink>
    </w:p>
    <w:p w:rsidR="00AF59A3" w:rsidRDefault="00AF59A3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0D7C7B" w:rsidRPr="00120888" w:rsidRDefault="000D7C7B" w:rsidP="000D7C7B">
      <w:pPr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 xml:space="preserve">Q: </w:t>
      </w:r>
      <w:r w:rsidRPr="00120888">
        <w:rPr>
          <w:rFonts w:ascii="Helvetica" w:hAnsi="Helvetica" w:hint="eastAsia"/>
          <w:b/>
          <w:color w:val="000000"/>
          <w:sz w:val="20"/>
          <w:szCs w:val="20"/>
          <w:shd w:val="clear" w:color="auto" w:fill="FFFFFF"/>
        </w:rPr>
        <w:t>什么是蓝天法案</w:t>
      </w:r>
    </w:p>
    <w:p w:rsidR="000D7C7B" w:rsidRDefault="000D7C7B" w:rsidP="000D7C7B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 xml:space="preserve">A: </w:t>
      </w:r>
      <w:r w:rsidRPr="002928C2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该类法案用于规范一个区域内的证券交易，以及股票经纪人和投资顾问的注册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  <w:r w:rsidRPr="009B09C8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指美国各州对投资公司、经营公司的债券买卖进行监督和保护投资者免遭欺诈的《公司证券欺诈防治法》之俗称</w:t>
      </w: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。</w:t>
      </w:r>
    </w:p>
    <w:p w:rsidR="000D7C7B" w:rsidRPr="00CC2D7A" w:rsidRDefault="00CC2D7A" w:rsidP="00CC2D7A">
      <w:pPr>
        <w:pStyle w:val="3"/>
        <w:rPr>
          <w:shd w:val="clear" w:color="auto" w:fill="FFFFFF"/>
        </w:rPr>
      </w:pPr>
      <w:r w:rsidRPr="00CC2D7A">
        <w:rPr>
          <w:rFonts w:hint="eastAsia"/>
          <w:shd w:val="clear" w:color="auto" w:fill="FFFFFF"/>
        </w:rPr>
        <w:t>重点</w:t>
      </w:r>
    </w:p>
    <w:p w:rsidR="00CC2D7A" w:rsidRDefault="00CC2D7A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</w:t>
      </w:r>
      <w:r w:rsidR="00D112AD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发行比私募发行要求更多，受各州法律的限制。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506</w:t>
      </w:r>
      <w:r w:rsidR="008830B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用的应该更多。</w:t>
      </w:r>
      <w:r w:rsidR="00E45B7F"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小额发行对于信息披露和监管更高。私募信息披露和监管都低。但私募的销售对象限制多。原来私募和小额发行在宣传上有限制，但现在宣传的限制可以被突破。</w:t>
      </w:r>
    </w:p>
    <w:p w:rsidR="00D112AD" w:rsidRPr="000D7C7B" w:rsidRDefault="00D112A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3C2931" w:rsidRDefault="00747744" w:rsidP="006F475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重要</w:t>
      </w:r>
      <w:r w:rsidR="003C2931">
        <w:rPr>
          <w:rFonts w:hint="eastAsia"/>
          <w:shd w:val="clear" w:color="auto" w:fill="FFFFFF"/>
        </w:rPr>
        <w:t>原文</w:t>
      </w:r>
      <w:r w:rsidR="006F475B">
        <w:rPr>
          <w:rFonts w:hint="eastAsia"/>
          <w:shd w:val="clear" w:color="auto" w:fill="FFFFFF"/>
        </w:rPr>
        <w:t>摘录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三、小额发行豁免与其他融资方式的比较</w:t>
      </w:r>
    </w:p>
    <w:p w:rsidR="00CC047D" w:rsidRPr="00CC047D" w:rsidRDefault="00CC047D" w:rsidP="00CC047D">
      <w:pPr>
        <w:widowControl/>
        <w:ind w:left="1180" w:firstLine="480"/>
        <w:rPr>
          <w:rFonts w:ascii="微软雅黑" w:eastAsia="微软雅黑" w:hAnsi="微软雅黑" w:cs="宋体"/>
          <w:i/>
          <w:kern w:val="0"/>
          <w:sz w:val="24"/>
          <w:szCs w:val="24"/>
        </w:rPr>
      </w:pP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从美国现有的证券法体系来看，企业的融资方式主要有四种，分别是注册发行（首次公开发行Initial Public Offering和增发Seasoned Equity Offering）、</w:t>
      </w:r>
      <w:commentRangeStart w:id="0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小额发行（Mini Public Offering）</w:t>
      </w:r>
      <w:commentRangeEnd w:id="0"/>
      <w:r w:rsidR="00E9533E" w:rsidRPr="004D5576">
        <w:rPr>
          <w:rStyle w:val="a6"/>
          <w:i/>
        </w:rPr>
        <w:commentReference w:id="0"/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 xml:space="preserve">、私募（Private Placement）和股权众筹（Equity </w:t>
      </w:r>
      <w:proofErr w:type="spellStart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Crowdfunding</w:t>
      </w:r>
      <w:proofErr w:type="spellEnd"/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t>）。由于注册发行涉及主体众多、规则复</w:t>
      </w:r>
      <w:r w:rsidRPr="00CC047D">
        <w:rPr>
          <w:rFonts w:ascii="微软雅黑" w:eastAsia="微软雅黑" w:hAnsi="微软雅黑" w:cs="宋体" w:hint="eastAsia"/>
          <w:i/>
          <w:kern w:val="0"/>
          <w:szCs w:val="21"/>
        </w:rPr>
        <w:lastRenderedPageBreak/>
        <w:t>杂，不宜与其他三种融资方式作对比，下表仅对除注册发行以外的三种发行豁免方式做出比较。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04"/>
        <w:gridCol w:w="1272"/>
        <w:gridCol w:w="1345"/>
        <w:gridCol w:w="1537"/>
        <w:gridCol w:w="1152"/>
        <w:gridCol w:w="941"/>
        <w:gridCol w:w="8"/>
      </w:tblGrid>
      <w:tr w:rsidR="00CC047D" w:rsidRPr="00CC047D" w:rsidTr="00351485">
        <w:trPr>
          <w:trHeight w:val="90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小额发行</w:t>
            </w:r>
          </w:p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（本由A+条例、504、505规则构成，505规则已被废止）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私募发行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股权众筹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765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法律依据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A 条例、JOBS 法案之第四章A+条例及SEC 最新实施规则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规则504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规则506、规则144、规则144A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JOBS 法案之第三章、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众筹条例</w:t>
            </w:r>
            <w:proofErr w:type="gramEnd"/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一级：0-2000万美元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500 万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100 万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4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二级：2000-5000万美元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发行人资格</w:t>
            </w:r>
          </w:p>
        </w:tc>
        <w:tc>
          <w:tcPr>
            <w:tcW w:w="217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不适用“不良行为者”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不适用于《1934 年证券交易法》中负有报告义务的公司、《1940 年投资公司法》中的投资公司、“空头支票公司”、“不良行为者”。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450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投资限额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一级：无限制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如果该个人投资者的年收入或其净资产少于10 万美元，则限额为2000美元或者年收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入或净资产5%中孰高者；如果其年收入或其净资产中某项达到或超过10 万美元的，则限额为该年收入或净资产的10%。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18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二级：非D 条例501 规定的获许投资者，自然人的投资限额为其10%年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收入和净资产的较大值；非自然人其财政年度内10%年收入和净资产的较大值。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受要约人数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无明确限制，但结合对“要约发行方式”的要求，实际不能过多。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5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购买者人数及资格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没有人数限制的“获许投资者”和不超过35 人的非获许投资者（在金融和商务方面具备足够的知识和经验，能够衡量潜在投资的优势和风险）。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00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证券分散度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低（修法后允许发行人公开劝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诱，可能导致证券分散度更高）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高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0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高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0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发行方式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无限制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原则上禁止一般性劝诱或公开广告。如果采取一般性劝诱或公开广告，须满足一定条件。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发行人采取合理步骤确认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  <w:u w:val="single"/>
              </w:rPr>
              <w:t>购买者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为获许投资者的条件下，可以采取一般性劝诱或公开广告的方式。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不得对证券发行广告，但可通知投资者，指示他们通过经纪商或集资门户进行交易；劝诱购买、销售、或要约购买在其网站或门户上发行或展示的证券。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证券性质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受限证券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非受限证券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试水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有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6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信息披露</w:t>
            </w:r>
          </w:p>
        </w:tc>
        <w:tc>
          <w:tcPr>
            <w:tcW w:w="60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财务信息无需审计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无特别要求，但需遵守州法的规定。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发行人为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公司时，向非获许投资者披露财务信息分为三个档次</w:t>
            </w: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0-10万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所得税申报表、发行人财务报告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16"/>
                <w:szCs w:val="24"/>
              </w:rPr>
            </w:pPr>
          </w:p>
        </w:tc>
      </w:tr>
      <w:tr w:rsidR="00CC047D" w:rsidRPr="00CC047D" w:rsidTr="00351485">
        <w:trPr>
          <w:trHeight w:val="9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7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10-50万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独立第三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方的审核报告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127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财务信息需要审计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50万以上</w:t>
            </w:r>
          </w:p>
        </w:tc>
        <w:tc>
          <w:tcPr>
            <w:tcW w:w="5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经审计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660"/>
          <w:tblCellSpacing w:w="0" w:type="dxa"/>
          <w:jc w:val="center"/>
        </w:trPr>
        <w:tc>
          <w:tcPr>
            <w:tcW w:w="6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SEC备案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登记</w:t>
            </w:r>
          </w:p>
        </w:tc>
        <w:tc>
          <w:tcPr>
            <w:tcW w:w="136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Form 1-A</w:t>
            </w:r>
          </w:p>
        </w:tc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D</w:t>
            </w:r>
          </w:p>
        </w:tc>
        <w:tc>
          <w:tcPr>
            <w:tcW w:w="125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Form C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lastRenderedPageBreak/>
              <w:t>州备案登记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需要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315"/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不需要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rHeight w:val="255"/>
          <w:tblCellSpacing w:w="0" w:type="dxa"/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转售限制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一级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月内限额600 万（30%）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限制转售。须满足一定条件方可转售。</w:t>
            </w:r>
          </w:p>
        </w:tc>
        <w:tc>
          <w:tcPr>
            <w:tcW w:w="9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规则144：报告公司6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月的持有期限和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非报告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公司1 年的持有期限、合理的信息披露、转售数量在3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月内转售数量不可超过该证券总量的1%或该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证券周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平均交易量的较大值；其他法定条件。规则144A：向“合格机构买方”（QIB）转让无持有时间和转让数量等限制。</w:t>
            </w:r>
          </w:p>
        </w:tc>
        <w:tc>
          <w:tcPr>
            <w:tcW w:w="125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>1 年持有期，除非向发行人、获许投资者、已注册上市的一部分，家庭成员及等同的人转售。</w:t>
            </w:r>
          </w:p>
        </w:tc>
        <w:tc>
          <w:tcPr>
            <w:tcW w:w="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</w:tr>
      <w:tr w:rsidR="00CC047D" w:rsidRPr="00CC047D" w:rsidTr="00351485">
        <w:trPr>
          <w:tblCellSpacing w:w="0" w:type="dxa"/>
          <w:jc w:val="center"/>
        </w:trPr>
        <w:tc>
          <w:tcPr>
            <w:tcW w:w="6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二级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666666"/>
                <w:kern w:val="0"/>
                <w:szCs w:val="21"/>
              </w:rPr>
            </w:pPr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12 </w:t>
            </w:r>
            <w:proofErr w:type="gramStart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个</w:t>
            </w:r>
            <w:proofErr w:type="gramEnd"/>
            <w:r w:rsidRPr="00CC047D">
              <w:rPr>
                <w:rFonts w:ascii="微软雅黑" w:eastAsia="微软雅黑" w:hAnsi="微软雅黑" w:cs="宋体" w:hint="eastAsia"/>
                <w:i/>
                <w:color w:val="666666"/>
                <w:kern w:val="0"/>
                <w:szCs w:val="21"/>
              </w:rPr>
              <w:t>月内限额1500 万（30%）</w:t>
            </w:r>
            <w:r w:rsidRPr="00CC047D">
              <w:rPr>
                <w:rFonts w:ascii="微软雅黑" w:eastAsia="微软雅黑" w:hAnsi="微软雅黑" w:cs="宋体" w:hint="eastAsia"/>
                <w:i/>
                <w:kern w:val="0"/>
                <w:sz w:val="24"/>
                <w:szCs w:val="24"/>
              </w:rPr>
              <w:br/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9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5" w:type="pct"/>
            <w:vAlign w:val="center"/>
            <w:hideMark/>
          </w:tcPr>
          <w:p w:rsidR="00CC047D" w:rsidRPr="00CC047D" w:rsidRDefault="00CC047D" w:rsidP="00CC047D">
            <w:pPr>
              <w:widowControl/>
              <w:jc w:val="left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</w:rPr>
            </w:pPr>
          </w:p>
        </w:tc>
      </w:tr>
    </w:tbl>
    <w:p w:rsidR="00CC047D" w:rsidRDefault="00CC047D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423226" w:rsidRPr="00423226" w:rsidRDefault="0042322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C1ADC" w:rsidRPr="007739BC" w:rsidRDefault="00CC1ADC">
      <w:bookmarkStart w:id="1" w:name="_GoBack"/>
      <w:bookmarkEnd w:id="1"/>
    </w:p>
    <w:sectPr w:rsidR="00CC1ADC" w:rsidRPr="007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uj" w:date="2018-12-03T10:30:00Z" w:initials="A">
    <w:p w:rsidR="00E9533E" w:rsidRDefault="00E953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</w:t>
      </w:r>
      <w:proofErr w:type="gramStart"/>
      <w:r>
        <w:rPr>
          <w:rFonts w:hint="eastAsia"/>
        </w:rPr>
        <w:t>+ ?</w:t>
      </w:r>
      <w:proofErr w:type="gramEnd"/>
      <w:r w:rsidR="00C945E1">
        <w:rPr>
          <w:rFonts w:hint="eastAsia"/>
        </w:rPr>
        <w:t>还有其它方式吗？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3B2"/>
    <w:multiLevelType w:val="multilevel"/>
    <w:tmpl w:val="98F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BC"/>
    <w:rsid w:val="0009392F"/>
    <w:rsid w:val="000D7C7B"/>
    <w:rsid w:val="000E75FE"/>
    <w:rsid w:val="00120888"/>
    <w:rsid w:val="00123FED"/>
    <w:rsid w:val="00212B96"/>
    <w:rsid w:val="00265176"/>
    <w:rsid w:val="002928C2"/>
    <w:rsid w:val="00351485"/>
    <w:rsid w:val="003C2931"/>
    <w:rsid w:val="00423226"/>
    <w:rsid w:val="004D5576"/>
    <w:rsid w:val="005021FE"/>
    <w:rsid w:val="005B4127"/>
    <w:rsid w:val="006B41AB"/>
    <w:rsid w:val="006F475B"/>
    <w:rsid w:val="00747744"/>
    <w:rsid w:val="007739BC"/>
    <w:rsid w:val="007A402C"/>
    <w:rsid w:val="007C3C84"/>
    <w:rsid w:val="007E190A"/>
    <w:rsid w:val="00863352"/>
    <w:rsid w:val="008830BF"/>
    <w:rsid w:val="0088522C"/>
    <w:rsid w:val="00896661"/>
    <w:rsid w:val="009B09C8"/>
    <w:rsid w:val="00AF59A3"/>
    <w:rsid w:val="00B4025E"/>
    <w:rsid w:val="00B77CD0"/>
    <w:rsid w:val="00C038BD"/>
    <w:rsid w:val="00C224D4"/>
    <w:rsid w:val="00C61638"/>
    <w:rsid w:val="00C945E1"/>
    <w:rsid w:val="00CC047D"/>
    <w:rsid w:val="00CC1ADC"/>
    <w:rsid w:val="00CC2D7A"/>
    <w:rsid w:val="00D112AD"/>
    <w:rsid w:val="00D531FB"/>
    <w:rsid w:val="00E45B7F"/>
    <w:rsid w:val="00E5047B"/>
    <w:rsid w:val="00E9533E"/>
    <w:rsid w:val="00EA0884"/>
    <w:rsid w:val="00F12858"/>
    <w:rsid w:val="00FA43A5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3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39BC"/>
    <w:rPr>
      <w:i/>
      <w:iCs/>
    </w:rPr>
  </w:style>
  <w:style w:type="character" w:styleId="a5">
    <w:name w:val="Strong"/>
    <w:basedOn w:val="a0"/>
    <w:uiPriority w:val="22"/>
    <w:qFormat/>
    <w:rsid w:val="007739B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739B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7739B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7739B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739B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7739B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7739B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9BC"/>
    <w:rPr>
      <w:sz w:val="18"/>
      <w:szCs w:val="18"/>
    </w:rPr>
  </w:style>
  <w:style w:type="character" w:styleId="aa">
    <w:name w:val="Hyperlink"/>
    <w:basedOn w:val="a0"/>
    <w:uiPriority w:val="99"/>
    <w:unhideWhenUsed/>
    <w:rsid w:val="00CC047D"/>
    <w:rPr>
      <w:color w:val="0000FF" w:themeColor="hyperlink"/>
      <w:u w:val="single"/>
    </w:rPr>
  </w:style>
  <w:style w:type="paragraph" w:customStyle="1" w:styleId="a10">
    <w:name w:val="a1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"/>
    <w:basedOn w:val="a"/>
    <w:rsid w:val="00CC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75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12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778">
          <w:marLeft w:val="514"/>
          <w:marRight w:val="514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rc.gov.cn/pub/newsite/ztzl/yjbg/201406/t20140610_25581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inlaw.pku.edu.cn/zhongxinzixun/zuixinwenzhang/47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law.pku.edu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xuj</cp:lastModifiedBy>
  <cp:revision>3</cp:revision>
  <dcterms:created xsi:type="dcterms:W3CDTF">2018-12-03T10:34:00Z</dcterms:created>
  <dcterms:modified xsi:type="dcterms:W3CDTF">2018-12-03T10:34:00Z</dcterms:modified>
</cp:coreProperties>
</file>