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关于民生银行联合登录和支付接口调试反馈</w:t>
      </w:r>
    </w:p>
    <w:p>
      <w:pPr>
        <w:pStyle w:val="3"/>
        <w:keepLines/>
        <w:widowControl w:val="0"/>
        <w:numPr>
          <w:ilvl w:val="0"/>
          <w:numId w:val="0"/>
        </w:numPr>
        <w:tabs>
          <w:tab w:val="left" w:pos="720"/>
        </w:tabs>
        <w:spacing w:before="260" w:after="260" w:line="416" w:lineRule="auto"/>
        <w:ind w:leftChars="0"/>
        <w:jc w:val="both"/>
        <w:rPr>
          <w:rFonts w:hint="eastAsia" w:ascii="微软雅黑" w:hAnsi="微软雅黑" w:eastAsia="微软雅黑"/>
          <w:b/>
          <w:color w:val="000000"/>
          <w:sz w:val="36"/>
          <w:szCs w:val="36"/>
          <w:lang w:val="en-US" w:eastAsia="zh-CN"/>
        </w:rPr>
      </w:pPr>
      <w:bookmarkStart w:id="0" w:name="_Toc436210366"/>
      <w:bookmarkStart w:id="1" w:name="_Toc394671394"/>
      <w:bookmarkStart w:id="2" w:name="_Toc267752966"/>
      <w:r>
        <w:rPr>
          <w:rFonts w:hint="eastAsia" w:ascii="微软雅黑" w:hAnsi="微软雅黑" w:eastAsia="微软雅黑"/>
          <w:b/>
          <w:color w:val="000000"/>
          <w:sz w:val="36"/>
          <w:szCs w:val="36"/>
          <w:lang w:val="en-US" w:eastAsia="zh-CN"/>
        </w:rPr>
        <w:t>20180901</w:t>
      </w:r>
    </w:p>
    <w:p>
      <w:pPr>
        <w:pStyle w:val="3"/>
        <w:keepLines/>
        <w:widowControl w:val="0"/>
        <w:numPr>
          <w:ilvl w:val="0"/>
          <w:numId w:val="1"/>
        </w:numPr>
        <w:tabs>
          <w:tab w:val="left" w:pos="720"/>
        </w:tabs>
        <w:spacing w:before="260" w:after="260" w:line="416" w:lineRule="auto"/>
        <w:jc w:val="both"/>
        <w:rPr>
          <w:rFonts w:hint="eastAsia" w:ascii="微软雅黑" w:hAnsi="微软雅黑" w:eastAsia="微软雅黑"/>
          <w:b/>
          <w:color w:val="000000"/>
          <w:sz w:val="36"/>
          <w:szCs w:val="36"/>
        </w:rPr>
      </w:pPr>
      <w:r>
        <w:rPr>
          <w:rFonts w:hint="eastAsia" w:ascii="微软雅黑" w:hAnsi="微软雅黑" w:eastAsia="微软雅黑"/>
          <w:b/>
          <w:color w:val="000000"/>
          <w:sz w:val="36"/>
          <w:szCs w:val="36"/>
        </w:rPr>
        <w:t>民生付网关支付概述</w:t>
      </w:r>
      <w:bookmarkEnd w:id="0"/>
      <w:bookmarkEnd w:id="1"/>
      <w:bookmarkEnd w:id="2"/>
    </w:p>
    <w:p>
      <w:pPr>
        <w:pStyle w:val="4"/>
        <w:numPr>
          <w:ilvl w:val="0"/>
          <w:numId w:val="0"/>
        </w:numPr>
        <w:ind w:left="1080" w:hanging="1080"/>
        <w:rPr>
          <w:rFonts w:hint="eastAsia" w:ascii="微软雅黑" w:hAnsi="微软雅黑" w:eastAsia="微软雅黑"/>
          <w:b/>
          <w:sz w:val="32"/>
          <w:szCs w:val="32"/>
        </w:rPr>
      </w:pPr>
      <w:bookmarkStart w:id="3" w:name="_Toc436210367"/>
      <w:r>
        <w:rPr>
          <w:rFonts w:hint="eastAsia" w:ascii="微软雅黑" w:hAnsi="微软雅黑" w:eastAsia="微软雅黑"/>
          <w:b/>
          <w:sz w:val="32"/>
          <w:szCs w:val="32"/>
        </w:rPr>
        <w:t>1.1商户申请</w:t>
      </w:r>
      <w:r>
        <w:rPr>
          <w:rFonts w:ascii="微软雅黑" w:hAnsi="微软雅黑" w:eastAsia="微软雅黑"/>
          <w:b/>
          <w:sz w:val="32"/>
          <w:szCs w:val="32"/>
        </w:rPr>
        <w:t>流程</w:t>
      </w:r>
      <w:bookmarkEnd w:id="3"/>
    </w:p>
    <w:p>
      <w:pPr>
        <w:numPr>
          <w:ilvl w:val="0"/>
          <w:numId w:val="2"/>
        </w:numPr>
        <w:tabs>
          <w:tab w:val="left" w:pos="936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商户</w:t>
      </w:r>
      <w:r>
        <w:rPr>
          <w:rFonts w:ascii="宋体" w:hAnsi="宋体"/>
          <w:szCs w:val="21"/>
        </w:rPr>
        <w:t>通过分行提交</w:t>
      </w:r>
      <w:r>
        <w:rPr>
          <w:rFonts w:hint="eastAsia" w:ascii="宋体" w:hAnsi="宋体"/>
          <w:szCs w:val="21"/>
        </w:rPr>
        <w:t>开通</w:t>
      </w:r>
      <w:r>
        <w:rPr>
          <w:rFonts w:ascii="宋体" w:hAnsi="宋体"/>
          <w:szCs w:val="21"/>
        </w:rPr>
        <w:t>民生付审批</w:t>
      </w:r>
      <w:r>
        <w:rPr>
          <w:rFonts w:hint="eastAsia" w:ascii="宋体" w:hAnsi="宋体"/>
          <w:szCs w:val="21"/>
        </w:rPr>
        <w:t>资料</w:t>
      </w:r>
    </w:p>
    <w:p>
      <w:pPr>
        <w:numPr>
          <w:ilvl w:val="0"/>
          <w:numId w:val="2"/>
        </w:numPr>
        <w:tabs>
          <w:tab w:val="left" w:pos="936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业务</w:t>
      </w:r>
      <w:r>
        <w:rPr>
          <w:rFonts w:ascii="宋体" w:hAnsi="宋体"/>
          <w:szCs w:val="21"/>
        </w:rPr>
        <w:t>审批通过</w:t>
      </w:r>
      <w:r>
        <w:rPr>
          <w:rFonts w:hint="eastAsia" w:ascii="宋体" w:hAnsi="宋体"/>
          <w:szCs w:val="21"/>
        </w:rPr>
        <w:t>后</w:t>
      </w:r>
      <w:r>
        <w:rPr>
          <w:rFonts w:ascii="宋体" w:hAnsi="宋体"/>
          <w:szCs w:val="21"/>
        </w:rPr>
        <w:t>，给商户发送商户</w:t>
      </w:r>
      <w:r>
        <w:rPr>
          <w:rFonts w:ascii="宋体" w:hAnsi="宋体"/>
          <w:color w:val="0000FF"/>
          <w:szCs w:val="21"/>
        </w:rPr>
        <w:t>接入包</w:t>
      </w:r>
    </w:p>
    <w:p>
      <w:pPr>
        <w:numPr>
          <w:ilvl w:val="0"/>
          <w:numId w:val="2"/>
        </w:numPr>
        <w:tabs>
          <w:tab w:val="left" w:pos="936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商户</w:t>
      </w:r>
      <w:r>
        <w:rPr>
          <w:rFonts w:ascii="宋体" w:hAnsi="宋体"/>
          <w:szCs w:val="21"/>
        </w:rPr>
        <w:t>在</w:t>
      </w:r>
      <w:r>
        <w:rPr>
          <w:rFonts w:ascii="宋体" w:hAnsi="宋体"/>
          <w:color w:val="0000FF"/>
          <w:szCs w:val="21"/>
        </w:rPr>
        <w:t>测试环境联调</w:t>
      </w:r>
    </w:p>
    <w:p>
      <w:pPr>
        <w:numPr>
          <w:ilvl w:val="0"/>
          <w:numId w:val="2"/>
        </w:numPr>
        <w:tabs>
          <w:tab w:val="left" w:pos="936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银行为商户发放生产商户证书的授权码和参考号</w:t>
      </w:r>
    </w:p>
    <w:p>
      <w:pPr>
        <w:numPr>
          <w:ilvl w:val="0"/>
          <w:numId w:val="2"/>
        </w:numPr>
        <w:tabs>
          <w:tab w:val="left" w:pos="936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商户</w:t>
      </w:r>
      <w:r>
        <w:rPr>
          <w:rFonts w:ascii="宋体" w:hAnsi="宋体"/>
          <w:szCs w:val="21"/>
        </w:rPr>
        <w:t>根据两码在我行证书下载页面下载</w:t>
      </w:r>
      <w:r>
        <w:rPr>
          <w:rFonts w:hint="eastAsia" w:ascii="宋体" w:hAnsi="宋体"/>
          <w:szCs w:val="21"/>
        </w:rPr>
        <w:t>商户生产私钥</w:t>
      </w:r>
      <w:r>
        <w:rPr>
          <w:rFonts w:ascii="宋体" w:hAnsi="宋体"/>
          <w:szCs w:val="21"/>
        </w:rPr>
        <w:t>证书</w:t>
      </w:r>
    </w:p>
    <w:p>
      <w:pPr>
        <w:numPr>
          <w:ilvl w:val="0"/>
          <w:numId w:val="2"/>
        </w:numPr>
        <w:tabs>
          <w:tab w:val="left" w:pos="936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生产网络的开通</w:t>
      </w:r>
    </w:p>
    <w:p>
      <w:pPr>
        <w:numPr>
          <w:ilvl w:val="0"/>
          <w:numId w:val="2"/>
        </w:numPr>
        <w:tabs>
          <w:tab w:val="left" w:pos="936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投产上线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引入民生加密类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//include '../addons/sen_appfreeitem/inc/core/class/decryptAndCheck.class.php';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//include '../addons/sen_appfreeitem/inc/core/class/php_java.php';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include_once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 xml:space="preserve">IA_ROOT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'/payment/unionpay/ms_lajp/decryptAndCheck.class.php'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include_once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 xml:space="preserve">IA_ROOT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'/payment/unionpay/ms_lajp/php_java.php'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商户通过分行提交开通民生付审批资料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业务审批通过后，给商户发送商户接入包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商户在测试环境联调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银行为商户发放生产商户证书的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授权码</w:t>
      </w:r>
      <w:r>
        <w:rPr>
          <w:rFonts w:hint="eastAsia" w:ascii="Times New Roman" w:hAnsi="Times New Roman" w:cs="Times New Roman"/>
          <w:lang w:val="en-US" w:eastAsia="zh-CN"/>
        </w:rPr>
        <w:t>和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参考号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商户根据两码在我行证书下载页面下载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商户生产私钥证书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生产网络的开通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投产上线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配置目录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3533140" cy="1800225"/>
            <wp:effectExtent l="0" t="0" r="1016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登录</w:t>
      </w:r>
      <w:r>
        <w:rPr>
          <w:rFonts w:hint="eastAsia"/>
          <w:lang w:val="en-US" w:eastAsia="zh-CN"/>
        </w:rPr>
        <w:t>url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$ms_login_url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"http://197.3.176.26:8000/ecshopMerchantTest/index.jsp"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生产民生银行提供：</w:t>
      </w: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</w:t>
      </w: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私钥密码</w:t>
      </w:r>
      <w:bookmarkStart w:id="4" w:name="_GoBack"/>
      <w:bookmarkEnd w:id="4"/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民生公钥</w:t>
      </w: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center" w:pos="415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商户代码联合登录需要AES秘钥</w:t>
      </w: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测试包解析js</w:t>
      </w:r>
    </w:p>
    <w:p>
      <w:pPr>
        <w:rPr>
          <w:highlight w:val="red"/>
        </w:rPr>
      </w:pPr>
      <w:r>
        <w:rPr>
          <w:highlight w:val="red"/>
        </w:rPr>
        <w:t>AES</w:t>
      </w:r>
      <w:r>
        <w:rPr>
          <w:rFonts w:hint="eastAsia"/>
          <w:highlight w:val="red"/>
        </w:rPr>
        <w:t>秘钥</w:t>
      </w:r>
    </w:p>
    <w:p>
      <w:pPr>
        <w:rPr>
          <w:highlight w:val="red"/>
        </w:rPr>
      </w:pPr>
      <w:r>
        <w:rPr>
          <w:highlight w:val="red"/>
        </w:rPr>
        <w:t>AES</w:t>
      </w:r>
      <w:r>
        <w:rPr>
          <w:rFonts w:hint="eastAsia"/>
          <w:highlight w:val="red"/>
        </w:rPr>
        <w:t>测试秘钥</w:t>
      </w:r>
    </w:p>
    <w:p>
      <w:r>
        <w:rPr>
          <w:highlight w:val="red"/>
        </w:rPr>
        <w:t>JiYqrz583wzVghMAnsFzbg==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spacing w:line="360" w:lineRule="auto"/>
        <w:rPr>
          <w:rFonts w:hint="eastAsia" w:ascii="微软雅黑" w:hAnsi="微软雅黑" w:eastAsia="微软雅黑"/>
          <w:color w:val="000000"/>
          <w:sz w:val="16"/>
          <w:szCs w:val="16"/>
          <w:shd w:val="clear" w:color="auto" w:fill="FFFFFF"/>
        </w:rPr>
      </w:pPr>
      <w:r>
        <w:rPr>
          <w:rFonts w:hint="eastAsia" w:ascii="宋体" w:hAnsi="宋体"/>
          <w:szCs w:val="21"/>
        </w:rPr>
        <w:t>一般商户密文封装好后调用</w:t>
      </w:r>
      <w:r>
        <w:rPr>
          <w:rFonts w:ascii="宋体" w:hAnsi="宋体"/>
          <w:szCs w:val="21"/>
        </w:rPr>
        <w:t>cmbcForClient.js</w:t>
      </w:r>
      <w:r>
        <w:rPr>
          <w:rFonts w:hint="eastAsia" w:ascii="宋体" w:hAnsi="宋体"/>
          <w:szCs w:val="21"/>
        </w:rPr>
        <w:t>中的</w:t>
      </w:r>
      <w:r>
        <w:rPr>
          <w:rFonts w:hint="eastAsia" w:ascii="微软雅黑" w:hAnsi="微软雅黑" w:eastAsia="微软雅黑"/>
          <w:color w:val="000000"/>
          <w:sz w:val="16"/>
          <w:szCs w:val="16"/>
          <w:shd w:val="clear" w:color="auto" w:fill="FFFFFF"/>
        </w:rPr>
        <w:t>submitOrderForCash（</w:t>
      </w:r>
      <w:r>
        <w:rPr>
          <w:rFonts w:ascii="微软雅黑" w:hAnsi="微软雅黑" w:eastAsia="微软雅黑"/>
          <w:color w:val="000000"/>
          <w:sz w:val="16"/>
          <w:szCs w:val="16"/>
          <w:shd w:val="clear" w:color="auto" w:fill="FFFFFF"/>
        </w:rPr>
        <w:t>orderInfo</w:t>
      </w:r>
      <w:r>
        <w:rPr>
          <w:rFonts w:hint="eastAsia" w:ascii="微软雅黑" w:hAnsi="微软雅黑" w:eastAsia="微软雅黑"/>
          <w:color w:val="000000"/>
          <w:sz w:val="16"/>
          <w:szCs w:val="16"/>
          <w:shd w:val="clear" w:color="auto" w:fill="FFFFFF"/>
        </w:rPr>
        <w:t>）方法即可完成订单提交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联合登录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D:\www\users\wc.jieqiangtec.com\addons\sen_appfreeitem\site.php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loginForComm</w:t>
      </w:r>
      <w:r>
        <w:rPr>
          <w:rFonts w:hint="eastAsia" w:cs="宋体"/>
          <w:color w:val="FFC66D"/>
          <w:sz w:val="22"/>
          <w:szCs w:val="22"/>
          <w:shd w:val="clear" w:fill="232525"/>
          <w:lang w:val="en-US" w:eastAsia="zh-CN"/>
        </w:rPr>
        <w:t xml:space="preserve"> L2175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"http://shop.rongec.cn/app/index.php?i=10&amp;c=entry&amp;orderid=14099&amp;do=pay&amp;m=sen_appfreeitem"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http://shop.rongec.cn/app/index.php?i=10&amp;c=entry&amp;orderid=14099&amp;do=pay&amp;m=sen_appfreeitem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$keyStr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'JiYqrz583wzVghMAnsFzbg=='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loginForComm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("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{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$before_url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",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{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$to_url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");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lang w:val="en-US" w:eastAsia="zh-CN"/>
        </w:rPr>
      </w:pPr>
      <w:r>
        <w:rPr>
          <w:rFonts w:hint="eastAsia" w:cs="宋体"/>
          <w:color w:val="6A8759"/>
          <w:sz w:val="22"/>
          <w:szCs w:val="22"/>
          <w:shd w:val="clear" w:fill="232525"/>
          <w:lang w:val="en-US" w:eastAsia="zh-CN"/>
        </w:rPr>
        <w:t>通过传递来源url,和前往url,调用loginFormComm函数,返回用户信息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订单支付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D:\www\users\wc.jieqiangtec.com\payment\unionpay\pay.php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"http://shop.rongec.cn/payment/unionpay/pay.php?i=10&amp;payresult=111"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http://shop.rongec.cn/payment/unionpay/pay.php?i=10&amp;payresult=111</w:t>
      </w:r>
      <w:r>
        <w:rPr>
          <w:rFonts w:hint="eastAsia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"http://shop.rongec.cn/payment/unionpay/pay.php?i=10&amp;auth=fe73b8f346afe2da789bbbd534f66b2b3a3b6836&amp;ps=eyJ0aWQiOiIyMTUiLCJ1bmlvbnRpZCI6IjIwMTgwODExMTk0NTI5MDAwMDE2MjE4MjI4MjIiLCJ1c2VyIjpudWxsLCJmZWUiOiIwLjAwIiwidGl0bGUiOiJcdTg3OGRcdTYwZTBcdTgwNTQifQ=="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http://shop.rongec.cn/payment/unionpay/pay.php?i=10&amp;auth=fe73b8f346afe2da789bbbd534f66b2b3a3b6836&amp;ps=eyJ0aWQiOiIyMTUiLCJ1bmlvbnRpZCI6IjIwMTgwODExMTk0NTI5MDAwMDE2MjE4MjI4MjIiLCJ1c2VyIjpudWxsLCJmZWUiOiIwLjAwIiwidGl0bGUiOiJcdTg3OGRcdTYwZTBcdTgwNTQifQ==</w:t>
      </w:r>
      <w:r>
        <w:rPr>
          <w:rFonts w:hint="eastAsia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订单回调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D:\www\users\wc.jieqiangtec.com\payment\unionpay\notify.php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"http://shop.rongec.cn/payment/unionpay/notify.php?i=10&amp;payresult=111"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http://shop.rongec.cn/payment/unionpay/notify.php?i=10&amp;payresult=111</w:t>
      </w:r>
      <w:r>
        <w:rPr>
          <w:rFonts w:hint="eastAsia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6055" cy="2652395"/>
            <wp:effectExtent l="0" t="0" r="10795" b="1460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后台配置民生支付：配置</w:t>
      </w:r>
      <w:r>
        <w:rPr>
          <w:rFonts w:hint="eastAsia"/>
          <w:lang w:val="en-US" w:eastAsia="zh-CN"/>
        </w:rPr>
        <w:t>=》参数配置=》支付配置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"http://shop.rongec.cn/web/index.php?c=profile&amp;a=payment&amp;"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http://shop.rongec.cn/web/index.php?c=profile&amp;a=payment&amp;</w:t>
      </w:r>
      <w:r>
        <w:rPr>
          <w:rFonts w:hint="eastAsia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drawing>
          <wp:inline distT="0" distB="0" distL="114300" distR="114300">
            <wp:extent cx="5270500" cy="3270250"/>
            <wp:effectExtent l="0" t="0" r="6350" b="635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object>
          <v:shape id="_x0000_i1025" o:spt="75" type="#_x0000_t75" style="height:313.1pt;width:414.75pt;" o:ole="t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联合登录调用Js示例有问题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Uncaught TypeError: Cannot read property 'loginForComm' of undefined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409190"/>
            <wp:effectExtent l="0" t="0" r="14605" b="1016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民生银行JAVA版服务器证书应用工具包（商户专用版）PHP调用方式demo：缺少java类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[LAJP Error] Receive Java exception: ClassNotFoundException: cfca.sadk.cmbc.tools.php.PHPDecryptKit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</w:pPr>
      <w:r>
        <w:drawing>
          <wp:inline distT="0" distB="0" distL="114300" distR="114300">
            <wp:extent cx="5264785" cy="886460"/>
            <wp:effectExtent l="0" t="0" r="12065" b="889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</w:pPr>
    </w:p>
    <w:p>
      <w:pPr>
        <w:pStyle w:val="4"/>
        <w:numPr>
          <w:ilvl w:val="0"/>
          <w:numId w:val="4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单笔订单查询及退款demo只有java版本，缺少php版本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</w:pPr>
      <w:r>
        <w:drawing>
          <wp:inline distT="0" distB="0" distL="114300" distR="114300">
            <wp:extent cx="5271135" cy="1313180"/>
            <wp:effectExtent l="0" t="0" r="5715" b="127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4371340" cy="1857375"/>
            <wp:effectExtent l="0" t="0" r="10160" b="952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D129F"/>
    <w:multiLevelType w:val="singleLevel"/>
    <w:tmpl w:val="92AD1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489940"/>
    <w:multiLevelType w:val="singleLevel"/>
    <w:tmpl w:val="A34899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690BEE"/>
    <w:multiLevelType w:val="multilevel"/>
    <w:tmpl w:val="5B690BEE"/>
    <w:lvl w:ilvl="0" w:tentative="0">
      <w:start w:val="1"/>
      <w:numFmt w:val="decimal"/>
      <w:lvlText w:val="第%1章 "/>
      <w:lvlJc w:val="left"/>
      <w:pPr>
        <w:tabs>
          <w:tab w:val="left" w:pos="555"/>
        </w:tabs>
        <w:ind w:left="555" w:hanging="55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697"/>
        </w:tabs>
        <w:ind w:left="697" w:hanging="55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3">
    <w:nsid w:val="62E06476"/>
    <w:multiLevelType w:val="singleLevel"/>
    <w:tmpl w:val="62E06476"/>
    <w:lvl w:ilvl="0" w:tentative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  <w:lvlOverride w:ilvl="0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B447A"/>
    <w:rsid w:val="00D040C2"/>
    <w:rsid w:val="00F4344B"/>
    <w:rsid w:val="03664C7B"/>
    <w:rsid w:val="06313C09"/>
    <w:rsid w:val="083A4C69"/>
    <w:rsid w:val="0AFA4304"/>
    <w:rsid w:val="0BAB45AE"/>
    <w:rsid w:val="0ECA6D36"/>
    <w:rsid w:val="119F104D"/>
    <w:rsid w:val="122F22DD"/>
    <w:rsid w:val="15215F5C"/>
    <w:rsid w:val="168A367A"/>
    <w:rsid w:val="19A517FD"/>
    <w:rsid w:val="1B1C446C"/>
    <w:rsid w:val="1C8E1617"/>
    <w:rsid w:val="1D5F2C88"/>
    <w:rsid w:val="1D6C1046"/>
    <w:rsid w:val="1DDE4DE6"/>
    <w:rsid w:val="1E52426C"/>
    <w:rsid w:val="1EE558EC"/>
    <w:rsid w:val="1EF75567"/>
    <w:rsid w:val="20A042CB"/>
    <w:rsid w:val="20CC1341"/>
    <w:rsid w:val="20D22F7B"/>
    <w:rsid w:val="22546C5F"/>
    <w:rsid w:val="237E1225"/>
    <w:rsid w:val="243E4FCA"/>
    <w:rsid w:val="2469325B"/>
    <w:rsid w:val="25716777"/>
    <w:rsid w:val="270F25AD"/>
    <w:rsid w:val="277A60EF"/>
    <w:rsid w:val="27CE7136"/>
    <w:rsid w:val="282D137F"/>
    <w:rsid w:val="28E82FE2"/>
    <w:rsid w:val="2C6F22D6"/>
    <w:rsid w:val="2FAE6DB0"/>
    <w:rsid w:val="3066446C"/>
    <w:rsid w:val="31494EEF"/>
    <w:rsid w:val="33646B55"/>
    <w:rsid w:val="34645714"/>
    <w:rsid w:val="35630AE4"/>
    <w:rsid w:val="35890FCF"/>
    <w:rsid w:val="37496D43"/>
    <w:rsid w:val="38161CE8"/>
    <w:rsid w:val="38642867"/>
    <w:rsid w:val="39340C0E"/>
    <w:rsid w:val="395912D9"/>
    <w:rsid w:val="398D7D51"/>
    <w:rsid w:val="3B3301BA"/>
    <w:rsid w:val="3B414E1B"/>
    <w:rsid w:val="3D54476E"/>
    <w:rsid w:val="3E504ADA"/>
    <w:rsid w:val="4010638B"/>
    <w:rsid w:val="41B2453A"/>
    <w:rsid w:val="42785E16"/>
    <w:rsid w:val="44E055D2"/>
    <w:rsid w:val="46375C89"/>
    <w:rsid w:val="46C848D5"/>
    <w:rsid w:val="47C83654"/>
    <w:rsid w:val="483136B1"/>
    <w:rsid w:val="485F0E9F"/>
    <w:rsid w:val="487A49C5"/>
    <w:rsid w:val="49E41C97"/>
    <w:rsid w:val="4A196A30"/>
    <w:rsid w:val="4A487B3E"/>
    <w:rsid w:val="4AB73CB1"/>
    <w:rsid w:val="4AE002E8"/>
    <w:rsid w:val="4B561851"/>
    <w:rsid w:val="4E1C10C2"/>
    <w:rsid w:val="50260DC3"/>
    <w:rsid w:val="50677800"/>
    <w:rsid w:val="510D1361"/>
    <w:rsid w:val="51DB447A"/>
    <w:rsid w:val="52B74016"/>
    <w:rsid w:val="53225BE5"/>
    <w:rsid w:val="535A328C"/>
    <w:rsid w:val="571545B1"/>
    <w:rsid w:val="574A03A7"/>
    <w:rsid w:val="58DE2306"/>
    <w:rsid w:val="5C090FCA"/>
    <w:rsid w:val="5D351FDD"/>
    <w:rsid w:val="5DA226E6"/>
    <w:rsid w:val="5DE843F2"/>
    <w:rsid w:val="5E5533BD"/>
    <w:rsid w:val="5E84744F"/>
    <w:rsid w:val="620D68E5"/>
    <w:rsid w:val="65717017"/>
    <w:rsid w:val="668759C8"/>
    <w:rsid w:val="68763E08"/>
    <w:rsid w:val="68D41B80"/>
    <w:rsid w:val="6AA13DD9"/>
    <w:rsid w:val="6B3D6226"/>
    <w:rsid w:val="6C812D6B"/>
    <w:rsid w:val="6F750240"/>
    <w:rsid w:val="6FF3730B"/>
    <w:rsid w:val="71023BB5"/>
    <w:rsid w:val="71B40FED"/>
    <w:rsid w:val="71F271D0"/>
    <w:rsid w:val="72106722"/>
    <w:rsid w:val="72C87822"/>
    <w:rsid w:val="7330119A"/>
    <w:rsid w:val="755F4EA1"/>
    <w:rsid w:val="764926A0"/>
    <w:rsid w:val="76E86E8E"/>
    <w:rsid w:val="7A6E13CE"/>
    <w:rsid w:val="7A7217BB"/>
    <w:rsid w:val="7A813EA9"/>
    <w:rsid w:val="7A855554"/>
    <w:rsid w:val="7BE166FD"/>
    <w:rsid w:val="7CB044B9"/>
    <w:rsid w:val="7DF2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2018-08-03T17:34:00Z</dcterms:created>
  <dc:creator>Administrator</dc:creator>
  <cp:lastModifiedBy>Administrator</cp:lastModifiedBy>
  <dcterms:modified xsi:type="dcterms:W3CDTF">2018-09-02T03:38:00Z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