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12"/>
        <w:jc w:val="center"/>
      </w:pPr>
      <w:r>
        <w:rPr>
          <w:rFonts w:ascii="Times New Roman" w:eastAsia="SimSun"/>
          <w:color w:val="7A7A7A"/>
          <w:sz w:val="18"/>
          <w:szCs w:val="18"/>
        </w:rPr>
        <w:t xml:space="preserve">（电子版自本页开始：第一页为摘要专用页；承诺书与编号专用页不放入电子版；页码自本页起编、页脚居中）</w:t>
      </w:r>
    </w:p>
    <w:p>
      <w:pPr>
        <w:spacing w:after="120" w:before="240" w:line="368" w:lineRule="atLeast"/>
        <w:jc w:val="center"/>
      </w:pPr>
      <w:r>
        <w:rPr>
          <w:rFonts w:ascii="Times New Roman" w:eastAsia="SimHei"/>
          <w:b/>
          <w:bCs/>
          <w:sz w:val="32"/>
          <w:szCs w:val="32"/>
        </w:rPr>
        <w:t>基于混合整数规划与情景模拟的农作物种植策略优化研究</w:t>
      </w:r>
    </w:p>
    <w:p>
      <w:pPr>
        <w:spacing w:after="120" w:before="120" w:line="340" w:lineRule="atLeast"/>
        <w:jc w:val="center"/>
      </w:pPr>
      <w:r>
        <w:rPr>
          <w:rFonts w:ascii="Times New Roman" w:eastAsia="SimHei"/>
          <w:b/>
          <w:bCs/>
          <w:sz w:val="28"/>
          <w:szCs w:val="28"/>
        </w:rPr>
        <w:t xml:space="preserve">摘　　要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本文研究华北山区某乡村 2024–2030 年农作物种植方案的优化问题。该村拥有 4 类露地1201 亩与普通、智慧大棚共 20 个，需在地块适配、禁止重茬、豆类三年轮作、种植便于管理等约束下，对 41 种作物逐年逐季安排种植面积，使七年总净收益最大。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针对问题一，建立多季种植计划的混合整数规划（MILP）模型，将超产部分“滞销”与“五折甩卖”两种情形统一为带销量上限的线性收益结构，采用 HiGHS 求解器精确求解，得七年总净收益分别为 7 816.4 万元与 8 651.4 万元，五折情形比滞销情形多回收 835.0 万元（+10.7%），方案已逐年逐季回填 result1_1 与 result1_2 表。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针对问题二，按题给区间构造销量、成本、价格的中枢变化路径并重新求解，得净收益 9 402.1 万元（方案回填 result2）；20 组均匀抽样情景检验表明，沿用该方案的收益均值为 9 134.5 万元、变异系数仅 1.7%，按情景重优化平均仅再提高 0.2%，方案对参数波动稳健。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针对问题三，引入蔬菜类需求的共同市场因子与需求—价格负相关机制，进行 8 组相关蒙特卡洛模拟并逐组重优化：重优化平均净收益 14 041.1 万元，比沿用问题二方案提高 1 327.5 万元（+10.4%），表明存在相关冲击时应逐年滚动优化。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本文的亮点在于：约束体系完整覆盖题目全部硬性要求且线性可核验；“中枢求解—情景评估—重优化对比”三层递进量化了不确定性与灵活调整的价值；全部结果可由附录命令一键复现。</w:t>
      </w:r>
    </w:p>
    <w:p>
      <w:pPr>
        <w:spacing w:before="160" w:line="312"/>
      </w:pPr>
      <w:r>
        <w:rPr>
          <w:rFonts w:ascii="Times New Roman" w:eastAsia="SimHei"/>
          <w:b/>
          <w:bCs/>
          <w:sz w:val="24"/>
          <w:szCs w:val="24"/>
        </w:rPr>
        <w:t xml:space="preserve">关键词：</w:t>
      </w:r>
      <w:r>
        <w:rPr>
          <w:rFonts w:ascii="Times New Roman" w:eastAsia="SimSun"/>
          <w:sz w:val="24"/>
          <w:szCs w:val="24"/>
        </w:rPr>
        <w:t>农作物种植策略；混合整数规划；销量线性化；情景模拟；轮作约束</w:t>
      </w:r>
    </w:p>
    <w:p>
      <w:pPr>
        <w:spacing w:before="1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【提示】按官方《人工智能工具使用规定》如实说明 AI 使用情况；参赛队对作品的原创性、真实性、准确性负全责。</w:t>
      </w:r>
      <w:r>
        <w:br w:type="page"/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　问题重述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【提示】用自己的语言重述题目背景与各问要求，不超过一页；不要整段抄题。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【请替换：背景简述……】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【请替换：问题一要求……；问题二要求……；问题三要求……】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　问题分析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【提示】每问一段分析思路（为什么这样建模），并配全文技术路线图。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【请替换：问题一的分析……】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【请替换：问题二的分析……】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【请替换：问题三的分析……】</w:t>
      </w:r>
    </w:p>
    <w:p>
      <w:pPr>
        <w:keepNext/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60" w:before="12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【图1 占位：技术路线图，由 tools/make_flowchart.py 生成后插入（插入 → 图片）】</w:t>
      </w:r>
    </w:p>
    <w:p>
      <w:pPr>
        <w:spacing w:after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图1　全文技术路线图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　模型假设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【提示】6-10 条关键假设，每条附合理性说明；假设要能自圆其说并被后文真正使用。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eastAsia="SimSun"/>
          <w:sz w:val="24"/>
          <w:szCs w:val="24"/>
        </w:rPr>
        <w:t xml:space="preserve">……（合理性说明）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eastAsia="SimSun"/>
          <w:sz w:val="24"/>
          <w:szCs w:val="24"/>
        </w:rPr>
        <w:t xml:space="preserve">……（合理性说明）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　符号说明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【提示】单一事实源：全文新符号先入表再使用；与正文定义严格一致。</w:t>
      </w:r>
    </w:p>
    <w:tbl>
      <w:tblPr>
        <w:tblW w:type="pct" w:w="100%"/>
        <w:tblBorders>
          <w:top w:val="single" w:color="000000" w:sz="12"/>
          <w:left w:val="none"/>
          <w:bottom w:val="single" w:color="000000" w:sz="12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pct" w:w="58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含义</w:t>
            </w:r>
          </w:p>
        </w:tc>
        <w:tc>
          <w:tcPr>
            <w:tcW w:type="pct" w:w="20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xij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【请替换：符号含义】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【单位】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Z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【请替换：目标函数值】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【单位】</w:t>
            </w:r>
          </w:p>
        </w:tc>
      </w:tr>
    </w:tbl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　模型的建立与求解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　问题一模型的建立与求解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5.1.1　建模思路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【请替换：为什么选这个模型（2-3 句），呼应第 2 节问题分析。】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5.1.2　模型建立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建立如下模型：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center"/>
            </w:pPr>
            <m:oMath>
              <m:r>
                <m:t>Z=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i=1</m:t>
                  </m:r>
                </m:sub>
                <m:sup>
                  <m:r>
                    <m:t>m</m:t>
                  </m:r>
                </m:sup>
              </m:sSubSup>
              <m:sSubSup>
                <m:sSubSupPr/>
                <m:e>
                  <m:r>
                    <m:t>∑</m:t>
                  </m:r>
                </m:e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</m:sSubSup>
              <m:sSub>
                <m:sSubPr/>
                <m:e>
                  <m:r>
                    <m:t>c</m:t>
                  </m:r>
                </m:e>
                <m:sub>
                  <m:r>
                    <m:t>ij</m:t>
                  </m:r>
                </m:sub>
              </m:sSub>
              <m:sSub>
                <m:sSubPr/>
                <m:e>
                  <m:r>
                    <m:t>x</m:t>
                  </m:r>
                </m:e>
                <m:sub>
                  <m:r>
                    <m:t>ij</m:t>
                  </m:r>
                </m:sub>
              </m:sSub>
            </m:oMath>
          </w:p>
        </w:tc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right"/>
            </w:pPr>
            <w:r>
              <w:rPr>
                <w:rFonts w:ascii="Times New Roman" w:eastAsia="SimSun"/>
                <w:sz w:val="24"/>
                <w:szCs w:val="24"/>
              </w:rPr>
              <w:t xml:space="preserve">(1-1)</w:t>
            </w:r>
          </w:p>
        </w:tc>
      </w:tr>
    </w:tbl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其中，Z 为……；c 为……（见符号说明表）。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5.1.3　模型求解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【提示】写清算法步骤与参数取值依据；也可插入程序关键代码（等宽字体，Consolas 或 Courier New）。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Times New Roman" w:eastAsia="SimSun"/>
          <w:sz w:val="24"/>
          <w:szCs w:val="24"/>
        </w:rPr>
        <w:t xml:space="preserve">【请替换：求解步骤一】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Times New Roman" w:eastAsia="SimSun"/>
          <w:sz w:val="24"/>
          <w:szCs w:val="24"/>
        </w:rPr>
        <w:t xml:space="preserve">【请替换：求解步骤二】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5.1.4　结果分析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【提示】先图后文：每张图都要有引用 + 解读；正文数字必须来自结果 CSV，禁止编造。</w:t>
      </w:r>
    </w:p>
    <w:p>
      <w:pPr>
        <w:keepNext/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60" w:before="12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【图2 占位：结果图，由 tools/make_chart.py 生成（PNG 300dpi），插入后删除本框】</w:t>
      </w:r>
    </w:p>
    <w:p>
      <w:pPr>
        <w:spacing w:after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图2　【请替换：图题】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【请替换：由图2 可知……（2-4 位有效数字 + 对比基准）。】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5.2　问题二模型的建立与求解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【请替换：结构同 5.1；开头补一句与问题一的衔接。】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5.3　问题三模型的建立与求解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【请替换：结构同 5.1。】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　敏感性分析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【提示】评委必问模型稳不稳：列可扰动参数与幅度（±5%/±10%），给出结论句式——参数 ±10% 扰动下目标值波动 ≤±8%，模型稳健。</w:t>
      </w:r>
    </w:p>
    <w:p>
      <w:pPr>
        <w:keepNext/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60" w:before="12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【图3 占位：敏感性分析图，tools/make_chart.py sensitivity 生成】</w:t>
      </w:r>
    </w:p>
    <w:p>
      <w:pPr>
        <w:spacing w:after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　敏感性分析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【请替换：敏感性结论段。】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　模型的评价与推广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优点：【请替换：对应题目要求，做了什么就写什么。】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缺点与改进：【请替换：缺点必须配改进方向。】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推广：【请替换：推广到同类问题的一句话。】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参考文献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【提示】按 GB/T 7714—2015 著录，正文引用处以上标 [1] 标注；网络资料也须列出。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[1] 司守奎, 孙兆亮. 数学建模算法与应用[M]. 2版. 北京: 国防工业出版社, 2015.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[2] 【请替换：按 GB/T 7714—2015 格式补全全部引用】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附录A　支撑材料清单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【提示】官方硬性要求：本清单须与支撑材料压缩包内容一致；缺程序或程序不能运行，可能被取消评奖资格。</w:t>
      </w:r>
    </w:p>
    <w:tbl>
      <w:tblPr>
        <w:tblW w:type="pct" w:w="100%"/>
        <w:tblBorders>
          <w:top w:val="single" w:color="000000" w:sz="12"/>
          <w:left w:val="none"/>
          <w:bottom w:val="single" w:color="000000" w:sz="12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文件</w:t>
            </w:r>
          </w:p>
        </w:tc>
        <w:tc>
          <w:tcPr>
            <w:tcW w:type="pct" w:w="52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大小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q1_solve.py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问题一求解程序（Python 3.9，运行命令见 README）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【大小】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README.md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运行环境与一键运行说明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【大小】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F01_result.csv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问题一结果数据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【大小】</w:t>
            </w:r>
          </w:p>
        </w:tc>
      </w:tr>
    </w:tbl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附录B　源程序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【提示】粘贴全部完整、可运行的源程序（含 EXCEL、SPSS 等交互命令）；注释里也不得出现队号、姓名、学校。</w:t>
      </w:r>
    </w:p>
    <w:p>
      <w:pPr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120" w:before="12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【源程序粘贴区：Consolas / Courier New 等宽字体，9-10.5 号；关键步骤注释对应正文公式编号】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假设%1："/>
      <w:lvlJc w:val="left"/>
      <w:pPr>
        <w:ind w:left="960" w:hanging="9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40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2026-09-05T08:50:37.974Z</dcterms:created>
  <dcterms:modified xsi:type="dcterms:W3CDTF">2026-09-05T08:50:37.975Z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