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2190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Medibank is going to take a $26 million half-year hit as the result of its 2022 security breach, and this is expected to climb to between $40 million and $45 million over the full year.</w:t>
      </w:r>
    </w:p>
    <w:p w14:paraId="10087A11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The insurer has also gone public for the first time with technical detail of the attack.</w:t>
      </w:r>
    </w:p>
    <w:p w14:paraId="303F8F1B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In a half-year results announcement [</w:t>
      </w:r>
      <w:hyperlink r:id="rId4" w:tgtFrame="_blank" w:history="1">
        <w:r>
          <w:rPr>
            <w:rStyle w:val="Hyperlink"/>
            <w:rFonts w:ascii="Georgia" w:hAnsi="Georgia"/>
            <w:color w:val="CA0808"/>
            <w:sz w:val="26"/>
            <w:szCs w:val="26"/>
          </w:rPr>
          <w:t>pdf</w:t>
        </w:r>
      </w:hyperlink>
      <w:r>
        <w:rPr>
          <w:rFonts w:ascii="Georgia" w:hAnsi="Georgia"/>
          <w:color w:val="222222"/>
          <w:sz w:val="26"/>
          <w:szCs w:val="26"/>
        </w:rPr>
        <w:t>], Medibank said the attacker first obtained the user ID and password used by a third-party IT services contractor.</w:t>
      </w:r>
    </w:p>
    <w:p w14:paraId="1161C9BD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A misconfigured firewall allowed the attacker to bypass the need to present “an additional digital security certificate” to access its systems, using those credentials.</w:t>
      </w:r>
    </w:p>
    <w:p w14:paraId="6F8523B6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“The criminal was able to obtain further usernames and passwords to gain access to a number of Medibank’s systems and their access was not contained," Medibank stated.</w:t>
      </w:r>
    </w:p>
    <w:p w14:paraId="61B7E4F7" w14:textId="77777777" w:rsidR="00A9033C" w:rsidRDefault="00A9033C" w:rsidP="00A9033C">
      <w:pPr>
        <w:pStyle w:val="NormalWeb"/>
        <w:shd w:val="clear" w:color="auto" w:fill="FFFFFF"/>
        <w:rPr>
          <w:rFonts w:ascii="Georgia" w:hAnsi="Georgia"/>
          <w:color w:val="222222"/>
          <w:sz w:val="26"/>
          <w:szCs w:val="26"/>
        </w:rPr>
      </w:pPr>
      <w:r>
        <w:rPr>
          <w:rFonts w:ascii="Georgia" w:hAnsi="Georgia"/>
          <w:color w:val="222222"/>
          <w:sz w:val="26"/>
          <w:szCs w:val="26"/>
        </w:rPr>
        <w:t>The attack triggered a security alert on October 11, and Medibank said there was no further access after October 12.</w:t>
      </w:r>
    </w:p>
    <w:p w14:paraId="617E2158" w14:textId="77777777" w:rsidR="003C5812" w:rsidRDefault="003C5812"/>
    <w:sectPr w:rsidR="003C58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94"/>
    <w:rsid w:val="002743B4"/>
    <w:rsid w:val="003C5812"/>
    <w:rsid w:val="00A9033C"/>
    <w:rsid w:val="00D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0734-543D-4DCE-AD65-DD3B6B80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0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x.com.au/asxpdf/20230223/pdf/45lxfl3ws2q7k2.pdf%20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Huo</dc:creator>
  <cp:keywords/>
  <dc:description/>
  <cp:lastModifiedBy>Catherine Huo</cp:lastModifiedBy>
  <cp:revision>2</cp:revision>
  <dcterms:created xsi:type="dcterms:W3CDTF">2023-04-23T06:16:00Z</dcterms:created>
  <dcterms:modified xsi:type="dcterms:W3CDTF">2023-04-23T06:16:00Z</dcterms:modified>
</cp:coreProperties>
</file>