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49BE" w14:textId="77777777" w:rsidR="0087768C" w:rsidRPr="00737D4C" w:rsidRDefault="0087768C" w:rsidP="0087768C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5463C97A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8"/>
          <w:szCs w:val="44"/>
        </w:rPr>
      </w:pPr>
    </w:p>
    <w:p w14:paraId="133523CA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78AAC762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4AAFF3FC" w14:textId="77777777" w:rsidR="0087768C" w:rsidRPr="00737D4C" w:rsidRDefault="0087768C" w:rsidP="0087768C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5B2FEE46" w14:textId="77777777" w:rsidR="0087768C" w:rsidRPr="00737D4C" w:rsidRDefault="0087768C" w:rsidP="0087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7768C" w:rsidRPr="00737D4C" w14:paraId="4820A53B" w14:textId="77777777" w:rsidTr="002D7C42">
        <w:tc>
          <w:tcPr>
            <w:tcW w:w="2263" w:type="dxa"/>
          </w:tcPr>
          <w:p w14:paraId="58D4EA91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7B378F2B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D7C644D" w14:textId="77777777" w:rsidR="0087768C" w:rsidRPr="00737D4C" w:rsidRDefault="0087768C" w:rsidP="002D7C42">
            <w:r>
              <w:t>Combined MSc Data Analytics Assessment</w:t>
            </w:r>
          </w:p>
        </w:tc>
      </w:tr>
      <w:tr w:rsidR="0087768C" w:rsidRPr="00737D4C" w14:paraId="46F20FC5" w14:textId="77777777" w:rsidTr="002D7C42">
        <w:tc>
          <w:tcPr>
            <w:tcW w:w="2263" w:type="dxa"/>
          </w:tcPr>
          <w:p w14:paraId="276F984F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7F32DA4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CEDA060" w14:textId="77777777" w:rsidR="0087768C" w:rsidRPr="0077736E" w:rsidRDefault="0087768C" w:rsidP="002D7C42">
            <w:r>
              <w:t>Analysis of the Population Growth of Ireland and analysis of Asylum Seekers within Ireland</w:t>
            </w:r>
          </w:p>
          <w:p w14:paraId="232E6C00" w14:textId="77777777" w:rsidR="0087768C" w:rsidRPr="00737D4C" w:rsidRDefault="0087768C" w:rsidP="002D7C42"/>
        </w:tc>
      </w:tr>
      <w:tr w:rsidR="0087768C" w:rsidRPr="00737D4C" w14:paraId="283D7F57" w14:textId="77777777" w:rsidTr="002D7C42">
        <w:tc>
          <w:tcPr>
            <w:tcW w:w="2263" w:type="dxa"/>
          </w:tcPr>
          <w:p w14:paraId="4F53D541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5E28EC8A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3074060" w14:textId="77777777" w:rsidR="0087768C" w:rsidRPr="00737D4C" w:rsidRDefault="0087768C" w:rsidP="002D7C42">
            <w:r>
              <w:t xml:space="preserve">David McQuaid, Muhammad Iqbal, David Gonzalez, Marina Iantorno </w:t>
            </w:r>
          </w:p>
        </w:tc>
      </w:tr>
      <w:tr w:rsidR="0087768C" w:rsidRPr="00737D4C" w14:paraId="3A123304" w14:textId="77777777" w:rsidTr="002D7C42">
        <w:tc>
          <w:tcPr>
            <w:tcW w:w="2263" w:type="dxa"/>
          </w:tcPr>
          <w:p w14:paraId="5A4AE5A0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06580DB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B139A45" w14:textId="77777777" w:rsidR="0087768C" w:rsidRPr="00737D4C" w:rsidRDefault="0087768C" w:rsidP="002D7C42">
            <w:r>
              <w:t>Cathal Nugent</w:t>
            </w:r>
          </w:p>
        </w:tc>
      </w:tr>
      <w:tr w:rsidR="0087768C" w:rsidRPr="00737D4C" w14:paraId="7DDBA6D8" w14:textId="77777777" w:rsidTr="002D7C42">
        <w:tc>
          <w:tcPr>
            <w:tcW w:w="2263" w:type="dxa"/>
          </w:tcPr>
          <w:p w14:paraId="673BF44C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0217EB45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A95981" w14:textId="77777777" w:rsidR="0087768C" w:rsidRPr="00737D4C" w:rsidRDefault="0087768C" w:rsidP="002D7C42">
            <w:r>
              <w:t>23301</w:t>
            </w:r>
          </w:p>
        </w:tc>
      </w:tr>
      <w:tr w:rsidR="0087768C" w:rsidRPr="00737D4C" w14:paraId="58C6B29C" w14:textId="77777777" w:rsidTr="002D7C42">
        <w:tc>
          <w:tcPr>
            <w:tcW w:w="2263" w:type="dxa"/>
          </w:tcPr>
          <w:p w14:paraId="6E9C9C69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09295060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0FD1977" w14:textId="77777777" w:rsidR="0087768C" w:rsidRPr="00737D4C" w:rsidRDefault="0087768C" w:rsidP="002D7C42">
            <w:r>
              <w:t>10</w:t>
            </w:r>
            <w:r w:rsidRPr="00AB6930">
              <w:rPr>
                <w:vertAlign w:val="superscript"/>
              </w:rPr>
              <w:t>th</w:t>
            </w:r>
            <w:r>
              <w:t xml:space="preserve"> November 2023</w:t>
            </w:r>
          </w:p>
        </w:tc>
      </w:tr>
      <w:tr w:rsidR="0087768C" w:rsidRPr="00737D4C" w14:paraId="46599A6B" w14:textId="77777777" w:rsidTr="002D7C42">
        <w:tc>
          <w:tcPr>
            <w:tcW w:w="2263" w:type="dxa"/>
          </w:tcPr>
          <w:p w14:paraId="59BEF658" w14:textId="77777777" w:rsidR="0087768C" w:rsidRPr="00737D4C" w:rsidRDefault="0087768C" w:rsidP="002D7C4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0DFD687C" w14:textId="77777777" w:rsidR="0087768C" w:rsidRPr="00737D4C" w:rsidRDefault="0087768C" w:rsidP="002D7C4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D9E20B5" w14:textId="77777777" w:rsidR="0087768C" w:rsidRPr="00737D4C" w:rsidRDefault="0087768C" w:rsidP="002D7C42">
            <w:r w:rsidRPr="001303F8">
              <w:t>10th November 2023</w:t>
            </w:r>
          </w:p>
        </w:tc>
      </w:tr>
    </w:tbl>
    <w:p w14:paraId="7685CC77" w14:textId="77777777" w:rsidR="0087768C" w:rsidRPr="00737D4C" w:rsidRDefault="0087768C" w:rsidP="0087768C"/>
    <w:p w14:paraId="0601EA05" w14:textId="77777777" w:rsidR="0087768C" w:rsidRPr="00737D4C" w:rsidRDefault="0087768C" w:rsidP="0087768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27B6DCD" w14:textId="77777777" w:rsidR="0087768C" w:rsidRPr="00737D4C" w:rsidRDefault="0087768C" w:rsidP="0087768C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77AE" wp14:editId="1F642EDF">
                <wp:simplePos x="0" y="0"/>
                <wp:positionH relativeFrom="column">
                  <wp:posOffset>103720</wp:posOffset>
                </wp:positionH>
                <wp:positionV relativeFrom="paragraph">
                  <wp:posOffset>34765</wp:posOffset>
                </wp:positionV>
                <wp:extent cx="744480" cy="365040"/>
                <wp:effectExtent l="57150" t="38100" r="55880" b="546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44480" cy="36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F43A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.45pt;margin-top:2.05pt;width:60pt;height: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">
                <v:imagedata r:id="rId5" o:title=""/>
              </v:shape>
            </w:pict>
          </mc:Fallback>
        </mc:AlternateContent>
      </w:r>
    </w:p>
    <w:p w14:paraId="24301CDA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0"/>
        </w:rPr>
      </w:pPr>
    </w:p>
    <w:p w14:paraId="64CFA6B1" w14:textId="77777777" w:rsidR="0087768C" w:rsidRPr="00737D4C" w:rsidRDefault="0087768C" w:rsidP="0087768C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0D3AC9CB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768C" w:rsidRPr="00737D4C" w14:paraId="690A5D1F" w14:textId="77777777" w:rsidTr="002D7C42">
        <w:trPr>
          <w:trHeight w:val="1111"/>
        </w:trPr>
        <w:tc>
          <w:tcPr>
            <w:tcW w:w="9016" w:type="dxa"/>
          </w:tcPr>
          <w:p w14:paraId="235C1D08" w14:textId="77777777" w:rsidR="0087768C" w:rsidRPr="00737D4C" w:rsidRDefault="0087768C" w:rsidP="002D7C4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FD27CCC" w14:textId="77777777" w:rsidR="0087768C" w:rsidRPr="00737D4C" w:rsidRDefault="0087768C" w:rsidP="002D7C42">
            <w:pPr>
              <w:rPr>
                <w:rFonts w:cs="Arial"/>
                <w:sz w:val="20"/>
              </w:rPr>
            </w:pPr>
          </w:p>
        </w:tc>
      </w:tr>
    </w:tbl>
    <w:p w14:paraId="4DA3653F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</w:p>
    <w:p w14:paraId="10700CD0" w14:textId="77777777" w:rsidR="0087768C" w:rsidRPr="00737D4C" w:rsidRDefault="0087768C" w:rsidP="0087768C">
      <w:pPr>
        <w:spacing w:after="0" w:line="240" w:lineRule="auto"/>
        <w:rPr>
          <w:rFonts w:cs="Arial"/>
          <w:sz w:val="20"/>
        </w:rPr>
      </w:pPr>
    </w:p>
    <w:p w14:paraId="35A842C2" w14:textId="77777777" w:rsidR="0087768C" w:rsidRDefault="0087768C" w:rsidP="0087768C"/>
    <w:p w14:paraId="1315D2FD" w14:textId="77777777" w:rsidR="0087768C" w:rsidRDefault="0087768C" w:rsidP="0087768C"/>
    <w:p w14:paraId="474BE477" w14:textId="77777777" w:rsidR="0087768C" w:rsidRDefault="0087768C" w:rsidP="0087768C"/>
    <w:p w14:paraId="6EAB0D6E" w14:textId="77777777" w:rsidR="002F5E03" w:rsidRDefault="002F5E03"/>
    <w:sectPr w:rsidR="002F5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08"/>
    <w:rsid w:val="002E3308"/>
    <w:rsid w:val="002F5E03"/>
    <w:rsid w:val="00465DEE"/>
    <w:rsid w:val="0087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FD15"/>
  <w15:chartTrackingRefBased/>
  <w15:docId w15:val="{ED350456-37CF-4EAE-B6E2-D4A5B52D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68C"/>
  </w:style>
  <w:style w:type="paragraph" w:styleId="Heading1">
    <w:name w:val="heading 1"/>
    <w:basedOn w:val="Normal"/>
    <w:next w:val="Normal"/>
    <w:link w:val="Heading1Char"/>
    <w:uiPriority w:val="9"/>
    <w:qFormat/>
    <w:rsid w:val="00465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65DEE"/>
    <w:pPr>
      <w:spacing w:before="240" w:after="0" w:line="240" w:lineRule="auto"/>
    </w:pPr>
    <w:rPr>
      <w:b/>
      <w:bCs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65DEE"/>
    <w:rPr>
      <w:b/>
      <w:bCs/>
      <w:sz w:val="24"/>
      <w:szCs w:val="24"/>
    </w:rPr>
  </w:style>
  <w:style w:type="paragraph" w:customStyle="1" w:styleId="Style2">
    <w:name w:val="Style2"/>
    <w:basedOn w:val="Heading1"/>
    <w:link w:val="Style2Char"/>
    <w:qFormat/>
    <w:rsid w:val="00465DEE"/>
  </w:style>
  <w:style w:type="character" w:customStyle="1" w:styleId="Style2Char">
    <w:name w:val="Style2 Char"/>
    <w:basedOn w:val="Heading1Char"/>
    <w:link w:val="Style2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5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5DEE"/>
    <w:pPr>
      <w:ind w:left="720"/>
      <w:contextualSpacing/>
    </w:pPr>
  </w:style>
  <w:style w:type="table" w:styleId="TableGrid">
    <w:name w:val="Table Grid"/>
    <w:basedOn w:val="TableNormal"/>
    <w:uiPriority w:val="59"/>
    <w:rsid w:val="0087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7:18:46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818 275 24575,'-4'-4'0,"-28"-31"0,-1 1 0,-74-55 0,80 71 0,0 1 0,-1 1 0,-60-24 0,75 35 0,-1 1 0,-1 0 0,1 1 0,0 1 0,-1 0 0,1 1 0,-1 1 0,0 0 0,1 0 0,-1 2 0,-15 3 0,12-1 0,0 1 0,0 1 0,1 0 0,0 1 0,0 1 0,-21 14 0,26-14 0,1 1 0,1 0 0,-1 0 0,1 1 0,1 0 0,0 1 0,0 0 0,1 0 0,-6 14 0,8-15 0,1 0 0,0 0 0,1 1 0,0-1 0,1 1 0,0 0 0,0 0 0,2 0 0,-1 0 0,1 1 0,1-1 0,0 0 0,0 1 0,1-1 0,1 0 0,5 20 0,1 8 0,3-1 0,1 0 0,18 38 0,-23-61 0,1 0 0,0-1 0,2 0 0,-1 0 0,2-1 0,0-1 0,0 0 0,1 0 0,1-1 0,15 11 0,-1-4 0,1-2 0,1-1 0,32 12 0,96 28 0,-130-46 0,61 19 0,104 17 0,-132-35 0,0-2 0,105-1 0,-147-8 0,-1 0 0,0-2 0,0 1 0,0-2 0,21-7 0,-29 8 0,1-1 0,-1 0 0,0-1 0,-1 0 0,1 0 0,-1-1 0,0 0 0,-1 0 0,1-1 0,9-11 0,-14 14 0,-1-1 0,1 1 0,-1-1 0,1 0 0,-2 0 0,1 0 0,0 0 0,-1 0 0,0 0 0,0 0 0,0-7 0,0-10 0,-2-28 0,0 35 0,-2-18 0,-1-1 0,-11-39 0,1 11 0,13 55 0,-1 0 0,0 0 0,0 0 0,-1 0 0,0 0 0,0 0 0,-7-9 0,-25-48 0,26 45 0,-1 0 0,-1 1 0,0 1 0,-26-30 0,86 103 0,84 80 0,110 107 0,-165-172 0,107 76 0,-174-139 0,71 45 0,-75-49 0,0 0 0,1-1 0,-1 0 0,1 0 0,0-1 0,0 0 0,0 0 0,0-1 0,9 1 0,-16-2 0,1 0 0,-1 0 0,0 0 0,1 0 0,-1 0 0,0-1 0,1 1 0,-1 0 0,0-1 0,0 1 0,1-1 0,-1 0 0,0 1 0,0-1 0,0 0 0,0 1 0,0-1 0,0 0 0,0 0 0,0 0 0,1-1 0,-1-1 0,0 1 0,0 0 0,0 0 0,0 0 0,-1 0 0,1-1 0,0 1 0,-1 0 0,0-1 0,0 1 0,0-4 0,0-6 0,-2 0 0,0 0 0,-6-22 0,6 28 0,-33-105 0,-88-189 0,59 156 0,47 100 0,10 25 0,0 1 0,-1 0 0,-1 1 0,-12-19 0,32 69 0,56 116-1365,-49-111-5461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>KPMG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Nugent, Cathal</dc:creator>
  <cp:keywords/>
  <dc:description/>
  <cp:lastModifiedBy>Nugent, Cathal</cp:lastModifiedBy>
  <cp:revision>2</cp:revision>
  <dcterms:created xsi:type="dcterms:W3CDTF">2023-11-05T17:45:00Z</dcterms:created>
  <dcterms:modified xsi:type="dcterms:W3CDTF">2023-11-05T17:45:00Z</dcterms:modified>
</cp:coreProperties>
</file>