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r>
        <w:rPr>
          <w:rFonts w:ascii="Times New Roman" w:hAnsi="Times New Roman" w:cs="Times New Roman"/>
        </w:rPr>
        <w:lastRenderedPageBreak/>
        <w:t>measurements;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7BA470B4"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r w:rsidRPr="00090639">
        <w:rPr>
          <w:rFonts w:cs="Times New Roman"/>
          <w:sz w:val="22"/>
        </w:rPr>
        <w:t>meetings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lastRenderedPageBreak/>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monitored live animal collections</w:t>
      </w:r>
      <w:r w:rsidR="00D132A2" w:rsidRPr="00090639">
        <w:rPr>
          <w:rFonts w:ascii="Times New Roman" w:hAnsi="Times New Roman" w:cs="Times New Roman"/>
        </w:rPr>
        <w:t>;</w:t>
      </w:r>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For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30C9AAA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F0639">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1E487F4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1F0639">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Australian Coral Reef Society submission to Department of Agriculture, Water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5D42AD20"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1F0639">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1F0639">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Heatwole, S.J., Klanten, O.S., &amp; Wong, M.Y.L. (December 2020). Who will recover: extreme climatic events affect habitat use and persistence of coral-dwelling fishes</w:t>
      </w:r>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lastRenderedPageBreak/>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17ECE6" w14:textId="77777777" w:rsidR="001F77AE" w:rsidRDefault="001F77AE" w:rsidP="00410270">
      <w:r>
        <w:separator/>
      </w:r>
    </w:p>
  </w:endnote>
  <w:endnote w:type="continuationSeparator" w:id="0">
    <w:p w14:paraId="6AA06503" w14:textId="77777777" w:rsidR="001F77AE" w:rsidRDefault="001F77AE"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11BE67" w14:textId="77777777" w:rsidR="001F77AE" w:rsidRDefault="001F77AE" w:rsidP="00410270">
      <w:r>
        <w:separator/>
      </w:r>
    </w:p>
  </w:footnote>
  <w:footnote w:type="continuationSeparator" w:id="0">
    <w:p w14:paraId="42060411" w14:textId="77777777" w:rsidR="001F77AE" w:rsidRDefault="001F77AE"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1F77AE"/>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13F5"/>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590</TotalTime>
  <Pages>10</Pages>
  <Words>4440</Words>
  <Characters>25311</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135</cp:revision>
  <cp:lastPrinted>2021-11-17T03:01:00Z</cp:lastPrinted>
  <dcterms:created xsi:type="dcterms:W3CDTF">2020-03-30T23:09:00Z</dcterms:created>
  <dcterms:modified xsi:type="dcterms:W3CDTF">2021-11-17T06:41:00Z</dcterms:modified>
</cp:coreProperties>
</file>