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CARDIOVASCULAR DISEASE PREDICTION</w:t>
      </w:r>
    </w:p>
    <w:p>
      <w:pPr>
        <w:jc w:val="center"/>
      </w:pPr>
      <w:r>
        <w:rPr>
          <w:b/>
          <w:sz w:val="28"/>
        </w:rPr>
        <w:t>Final Model Evaluation &amp; Project Results</w:t>
      </w:r>
    </w:p>
    <w:p>
      <w:pPr>
        <w:jc w:val="center"/>
      </w:pPr>
      <w:r>
        <w:rPr>
          <w:i/>
        </w:rPr>
        <w:t>B.Sc. Computer Science Project</w:t>
      </w:r>
    </w:p>
    <w:p>
      <w:pPr>
        <w:pStyle w:val="Heading1"/>
      </w:pPr>
      <w:r>
        <w:t>1. Project Overview</w:t>
      </w:r>
    </w:p>
    <w:p>
      <w:r>
        <w:t>This project analyzes a cardiovascular disease dataset and develops a machine-learning classification model to predict whether a patient belongs to the cardiovascular-disease class (1) or no-disease class (0). The workflow covered data analysis, preprocessing, visualization, model comparison, decision-tree tuning, and final model evaluation.</w:t>
      </w:r>
    </w:p>
    <w:p>
      <w:pPr>
        <w:pStyle w:val="Heading1"/>
      </w:pPr>
      <w:r>
        <w:t>2. Dataset and Preprocessing</w:t>
      </w:r>
    </w:p>
    <w:p>
      <w:r>
        <w:t>The original dataset contained 70,000 records. Duplicate rows were checked and none were found. Blood-pressure consistency and range checks were then applied. After cleaning, 68,672 records remained, meaning 1,328 records were removed during blood-pressure cleaning.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Original rows</w:t>
            </w:r>
          </w:p>
        </w:tc>
        <w:tc>
          <w:tcPr>
            <w:tcW w:type="dxa" w:w="5040"/>
            <w:vAlign w:val="center"/>
          </w:tcPr>
          <w:p>
            <w:r>
              <w:t>70,000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Duplicate rows</w:t>
            </w:r>
          </w:p>
        </w:tc>
        <w:tc>
          <w:tcPr>
            <w:tcW w:type="dxa" w:w="5040"/>
            <w:vAlign w:val="center"/>
          </w:tcPr>
          <w:p>
            <w: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t>Rows after cleaning</w:t>
            </w:r>
          </w:p>
        </w:tc>
        <w:tc>
          <w:tcPr>
            <w:tcW w:type="dxa" w:w="5040"/>
            <w:vAlign w:val="center"/>
          </w:tcPr>
          <w:p>
            <w:r>
              <w:t>68,672</w:t>
            </w:r>
          </w:p>
        </w:tc>
      </w:tr>
      <w:tr>
        <w:tc>
          <w:tcPr>
            <w:tcW w:type="dxa" w:w="5040"/>
            <w:vAlign w:val="center"/>
          </w:tcPr>
          <w:p>
            <w:r>
              <w:t>Rows removed</w:t>
            </w:r>
          </w:p>
        </w:tc>
        <w:tc>
          <w:tcPr>
            <w:tcW w:type="dxa" w:w="5040"/>
            <w:vAlign w:val="center"/>
          </w:tcPr>
          <w:p>
            <w:r>
              <w:t>1,328</w:t>
            </w:r>
          </w:p>
        </w:tc>
      </w:tr>
      <w:tr>
        <w:tc>
          <w:tcPr>
            <w:tcW w:type="dxa" w:w="5040"/>
            <w:vAlign w:val="center"/>
          </w:tcPr>
          <w:p>
            <w:r>
              <w:t>Age range after conversion</w:t>
            </w:r>
          </w:p>
        </w:tc>
        <w:tc>
          <w:tcPr>
            <w:tcW w:type="dxa" w:w="5040"/>
            <w:vAlign w:val="center"/>
          </w:tcPr>
          <w:p>
            <w:r>
              <w:t>30–65 years</w:t>
            </w:r>
          </w:p>
        </w:tc>
      </w:tr>
    </w:tbl>
    <w:p/>
    <w:p>
      <w:pPr>
        <w:pStyle w:val="Heading1"/>
      </w:pPr>
      <w:r>
        <w:t>3. Blood-Pressure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040"/>
            <w:vAlign w:val="center"/>
          </w:tcPr>
          <w:p>
            <w:r>
              <w:t>ap_hi below 60</w:t>
            </w:r>
          </w:p>
        </w:tc>
        <w:tc>
          <w:tcPr>
            <w:tcW w:type="dxa" w:w="5040"/>
            <w:vAlign w:val="center"/>
          </w:tcPr>
          <w:p>
            <w:r>
              <w:t>188</w:t>
            </w:r>
          </w:p>
        </w:tc>
      </w:tr>
      <w:tr>
        <w:tc>
          <w:tcPr>
            <w:tcW w:type="dxa" w:w="5040"/>
            <w:vAlign w:val="center"/>
          </w:tcPr>
          <w:p>
            <w:r>
              <w:t>ap_hi above 250</w:t>
            </w:r>
          </w:p>
        </w:tc>
        <w:tc>
          <w:tcPr>
            <w:tcW w:type="dxa" w:w="5040"/>
            <w:vAlign w:val="center"/>
          </w:tcPr>
          <w:p>
            <w:r>
              <w:t>40</w:t>
            </w:r>
          </w:p>
        </w:tc>
      </w:tr>
      <w:tr>
        <w:tc>
          <w:tcPr>
            <w:tcW w:type="dxa" w:w="5040"/>
            <w:vAlign w:val="center"/>
          </w:tcPr>
          <w:p>
            <w:r>
              <w:t>ap_lo below 40</w:t>
            </w:r>
          </w:p>
        </w:tc>
        <w:tc>
          <w:tcPr>
            <w:tcW w:type="dxa" w:w="5040"/>
            <w:vAlign w:val="center"/>
          </w:tcPr>
          <w:p>
            <w:r>
              <w:t>59</w:t>
            </w:r>
          </w:p>
        </w:tc>
      </w:tr>
      <w:tr>
        <w:tc>
          <w:tcPr>
            <w:tcW w:type="dxa" w:w="5040"/>
            <w:vAlign w:val="center"/>
          </w:tcPr>
          <w:p>
            <w:r>
              <w:t>ap_lo above 200</w:t>
            </w:r>
          </w:p>
        </w:tc>
        <w:tc>
          <w:tcPr>
            <w:tcW w:type="dxa" w:w="5040"/>
            <w:vAlign w:val="center"/>
          </w:tcPr>
          <w:p>
            <w:r>
              <w:t>953</w:t>
            </w:r>
          </w:p>
        </w:tc>
      </w:tr>
      <w:tr>
        <w:tc>
          <w:tcPr>
            <w:tcW w:type="dxa" w:w="5040"/>
            <w:vAlign w:val="center"/>
          </w:tcPr>
          <w:p>
            <w:r>
              <w:t>ap_hi &lt;= ap_lo</w:t>
            </w:r>
          </w:p>
        </w:tc>
        <w:tc>
          <w:tcPr>
            <w:tcW w:type="dxa" w:w="5040"/>
            <w:vAlign w:val="center"/>
          </w:tcPr>
          <w:p>
            <w:r>
              <w:t>1236</w:t>
            </w:r>
          </w:p>
        </w:tc>
      </w:tr>
    </w:tbl>
    <w:p/>
    <w:p>
      <w:r>
        <w:t>These checks were used to identify suspicious blood-pressure records before model training. The preprocessing stage also converted age from the original day-based representation into age in years.</w:t>
      </w:r>
    </w:p>
    <w:p>
      <w:pPr>
        <w:pStyle w:val="Heading1"/>
      </w:pPr>
      <w:r>
        <w:t>4. Exploratory Data Visualization</w:t>
      </w:r>
    </w:p>
    <w:p>
      <w:r>
        <w:t>The visualization stage examined disease distribution, age, gender, cholesterol, glucose, systolic and diastolic blood pressure, weight, BMI, physical activity, smoking, alcohol consumption, and feature correlations.</w:t>
      </w:r>
    </w:p>
    <w:p>
      <w:r>
        <w:t>The correlation heatmap showed several notable relationships in the cleaned data, including a strong relationship between weight and BMI (approximately 0.76), and between systolic and diastolic blood pressure (approximately 0.73). The correlation between the cardiovascular-disease target and systolic blood pressure was approximately 0.43, while BMI and weight showed weaker positive relationships with the target.</w:t>
      </w:r>
    </w:p>
    <w:p>
      <w:r>
        <w:t>The boxplots also showed that the disease group generally had higher central values for systolic and diastolic blood pressure and slightly higher weight/BMI distributions. These are descriptive patterns in this dataset and should not be interpreted as proof of causation.</w:t>
      </w:r>
    </w:p>
    <w:p>
      <w:pPr>
        <w:pStyle w:val="Heading1"/>
      </w:pPr>
      <w:r>
        <w:t>5.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Logistic Regression</w:t>
            </w:r>
          </w:p>
        </w:tc>
        <w:tc>
          <w:tcPr>
            <w:tcW w:type="dxa" w:w="5040"/>
            <w:vAlign w:val="center"/>
          </w:tcPr>
          <w:p>
            <w:r>
              <w:t>72.28%</w:t>
            </w:r>
          </w:p>
        </w:tc>
      </w:tr>
      <w:tr>
        <w:tc>
          <w:tcPr>
            <w:tcW w:type="dxa" w:w="5040"/>
            <w:vAlign w:val="center"/>
          </w:tcPr>
          <w:p>
            <w:r>
              <w:t>Decision Tree</w:t>
            </w:r>
          </w:p>
        </w:tc>
        <w:tc>
          <w:tcPr>
            <w:tcW w:type="dxa" w:w="5040"/>
            <w:vAlign w:val="center"/>
          </w:tcPr>
          <w:p>
            <w:r>
              <w:t>72.70%</w:t>
            </w:r>
          </w:p>
        </w:tc>
      </w:tr>
      <w:tr>
        <w:tc>
          <w:tcPr>
            <w:tcW w:type="dxa" w:w="5040"/>
            <w:vAlign w:val="center"/>
          </w:tcPr>
          <w:p>
            <w:r>
              <w:t>Random Forest</w:t>
            </w:r>
          </w:p>
        </w:tc>
        <w:tc>
          <w:tcPr>
            <w:tcW w:type="dxa" w:w="5040"/>
            <w:vAlign w:val="center"/>
          </w:tcPr>
          <w:p>
            <w:r>
              <w:t>70.64%</w:t>
            </w:r>
          </w:p>
        </w:tc>
      </w:tr>
    </w:tbl>
    <w:p/>
    <w:p>
      <w:r>
        <w:t>Among the three tested models, the Decision Tree achieved the highest initial accuracy at 72.70%, slightly higher than Logistic Regression at 72.28% and Random Forest at 70.64%.</w:t>
      </w:r>
    </w:p>
    <w:p>
      <w:pPr>
        <w:pStyle w:val="Heading1"/>
      </w:pPr>
      <w:r>
        <w:t>6. Decision Tree Hyperparameter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Maximum Depth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5040"/>
            <w:vAlign w:val="center"/>
          </w:tcPr>
          <w:p>
            <w:r>
              <w:t>3</w:t>
            </w:r>
          </w:p>
        </w:tc>
        <w:tc>
          <w:tcPr>
            <w:tcW w:type="dxa" w:w="5040"/>
            <w:vAlign w:val="center"/>
          </w:tcPr>
          <w:p>
            <w:r>
              <w:t>72.25%</w:t>
            </w:r>
          </w:p>
        </w:tc>
      </w:tr>
      <w:tr>
        <w:tc>
          <w:tcPr>
            <w:tcW w:type="dxa" w:w="5040"/>
            <w:vAlign w:val="center"/>
          </w:tcPr>
          <w:p>
            <w:r>
              <w:t>5</w:t>
            </w:r>
          </w:p>
        </w:tc>
        <w:tc>
          <w:tcPr>
            <w:tcW w:type="dxa" w:w="5040"/>
            <w:vAlign w:val="center"/>
          </w:tcPr>
          <w:p>
            <w:r>
              <w:t>72.78%</w:t>
            </w:r>
          </w:p>
        </w:tc>
      </w:tr>
      <w:tr>
        <w:tc>
          <w:tcPr>
            <w:tcW w:type="dxa" w:w="5040"/>
            <w:vAlign w:val="center"/>
          </w:tcPr>
          <w:p>
            <w:r>
              <w:t>7</w:t>
            </w:r>
          </w:p>
        </w:tc>
        <w:tc>
          <w:tcPr>
            <w:tcW w:type="dxa" w:w="5040"/>
            <w:vAlign w:val="center"/>
          </w:tcPr>
          <w:p>
            <w:r>
              <w:t>72.67%</w:t>
            </w:r>
          </w:p>
        </w:tc>
      </w:tr>
      <w:tr>
        <w:tc>
          <w:tcPr>
            <w:tcW w:type="dxa" w:w="5040"/>
            <w:vAlign w:val="center"/>
          </w:tcPr>
          <w:p>
            <w:r>
              <w:t>10</w:t>
            </w:r>
          </w:p>
        </w:tc>
        <w:tc>
          <w:tcPr>
            <w:tcW w:type="dxa" w:w="5040"/>
            <w:vAlign w:val="center"/>
          </w:tcPr>
          <w:p>
            <w:r>
              <w:t>72.29%</w:t>
            </w:r>
          </w:p>
        </w:tc>
      </w:tr>
      <w:tr>
        <w:tc>
          <w:tcPr>
            <w:tcW w:type="dxa" w:w="5040"/>
            <w:vAlign w:val="center"/>
          </w:tcPr>
          <w:p>
            <w:r>
              <w:t>15</w:t>
            </w:r>
          </w:p>
        </w:tc>
        <w:tc>
          <w:tcPr>
            <w:tcW w:type="dxa" w:w="5040"/>
            <w:vAlign w:val="center"/>
          </w:tcPr>
          <w:p>
            <w:r>
              <w:t>70.23%</w:t>
            </w:r>
          </w:p>
        </w:tc>
      </w:tr>
      <w:tr>
        <w:tc>
          <w:tcPr>
            <w:tcW w:type="dxa" w:w="5040"/>
            <w:vAlign w:val="center"/>
          </w:tcPr>
          <w:p>
            <w:r>
              <w:t>20</w:t>
            </w:r>
          </w:p>
        </w:tc>
        <w:tc>
          <w:tcPr>
            <w:tcW w:type="dxa" w:w="5040"/>
            <w:vAlign w:val="center"/>
          </w:tcPr>
          <w:p>
            <w:r>
              <w:t>67.27%</w:t>
            </w:r>
          </w:p>
        </w:tc>
      </w:tr>
    </w:tbl>
    <w:p/>
    <w:p>
      <w:r>
        <w:t>The tuning experiment showed that max_depth = 5 produced the highest observed accuracy, 72.78%. Increasing the depth beyond this point reduced performance in the tested settings.</w:t>
      </w:r>
    </w:p>
    <w:p>
      <w:pPr>
        <w:pStyle w:val="Heading1"/>
      </w:pPr>
      <w:r>
        <w:t>7. Final Model</w:t>
      </w:r>
    </w:p>
    <w:p>
      <w:r>
        <w:t>The final selected model is a Decision Tree Classifier with max_depth = 5 and random_state = 42. The trained model was successfully saved as 'Output/final_decision_tree_model.pkl'.</w:t>
      </w:r>
    </w:p>
    <w:p>
      <w:r>
        <w:t>Final test accuracy: 72.78%</w:t>
      </w:r>
    </w:p>
    <w:p>
      <w:pPr>
        <w:pStyle w:val="Heading1"/>
      </w:pPr>
      <w:r>
        <w:t>8. Final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Actual / Predicted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No Disease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Disease</w:t>
            </w:r>
          </w:p>
        </w:tc>
      </w:tr>
      <w:tr>
        <w:tc>
          <w:tcPr>
            <w:tcW w:type="dxa" w:w="3360"/>
            <w:vAlign w:val="center"/>
          </w:tcPr>
          <w:p>
            <w:r>
              <w:t>No Disease</w:t>
            </w:r>
          </w:p>
        </w:tc>
        <w:tc>
          <w:tcPr>
            <w:tcW w:type="dxa" w:w="3360"/>
            <w:vAlign w:val="center"/>
          </w:tcPr>
          <w:p>
            <w:r>
              <w:t>5746</w:t>
            </w:r>
          </w:p>
        </w:tc>
        <w:tc>
          <w:tcPr>
            <w:tcW w:type="dxa" w:w="3360"/>
            <w:vAlign w:val="center"/>
          </w:tcPr>
          <w:p>
            <w:r>
              <w:t>1194</w:t>
            </w:r>
          </w:p>
        </w:tc>
      </w:tr>
      <w:tr>
        <w:tc>
          <w:tcPr>
            <w:tcW w:type="dxa" w:w="3360"/>
            <w:vAlign w:val="center"/>
          </w:tcPr>
          <w:p>
            <w:r>
              <w:t>Disease</w:t>
            </w:r>
          </w:p>
        </w:tc>
        <w:tc>
          <w:tcPr>
            <w:tcW w:type="dxa" w:w="3360"/>
            <w:vAlign w:val="center"/>
          </w:tcPr>
          <w:p>
            <w:r>
              <w:t>2545</w:t>
            </w:r>
          </w:p>
        </w:tc>
        <w:tc>
          <w:tcPr>
            <w:tcW w:type="dxa" w:w="3360"/>
            <w:vAlign w:val="center"/>
          </w:tcPr>
          <w:p>
            <w:r>
              <w:t>4250</w:t>
            </w:r>
          </w:p>
        </w:tc>
      </w:tr>
    </w:tbl>
    <w:p/>
    <w:p>
      <w:r>
        <w:t>The diagonal values represent correct predictions: 5,746 patients were correctly classified as No Disease and 4,250 patients were correctly classified as Disease. The off-diagonal values represent misclassifications: 1,194 false positives and 2,545 false negatives.</w:t>
      </w:r>
    </w:p>
    <w:p>
      <w:pPr>
        <w:pStyle w:val="Heading1"/>
      </w:pPr>
      <w:r>
        <w:t>9. Final Classification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2520"/>
            <w:vAlign w:val="center"/>
          </w:tcPr>
          <w:p>
            <w:r>
              <w:t>No Disease (0)</w:t>
            </w:r>
          </w:p>
        </w:tc>
        <w:tc>
          <w:tcPr>
            <w:tcW w:type="dxa" w:w="2520"/>
            <w:vAlign w:val="center"/>
          </w:tcPr>
          <w:p>
            <w:r>
              <w:t>0.69</w:t>
            </w:r>
          </w:p>
        </w:tc>
        <w:tc>
          <w:tcPr>
            <w:tcW w:type="dxa" w:w="2520"/>
            <w:vAlign w:val="center"/>
          </w:tcPr>
          <w:p>
            <w:r>
              <w:t>0.83</w:t>
            </w:r>
          </w:p>
        </w:tc>
        <w:tc>
          <w:tcPr>
            <w:tcW w:type="dxa" w:w="2520"/>
            <w:vAlign w:val="center"/>
          </w:tcPr>
          <w:p>
            <w:r>
              <w:t>0.75</w:t>
            </w:r>
          </w:p>
        </w:tc>
      </w:tr>
      <w:tr>
        <w:tc>
          <w:tcPr>
            <w:tcW w:type="dxa" w:w="2520"/>
            <w:vAlign w:val="center"/>
          </w:tcPr>
          <w:p>
            <w:r>
              <w:t>Disease (1)</w:t>
            </w:r>
          </w:p>
        </w:tc>
        <w:tc>
          <w:tcPr>
            <w:tcW w:type="dxa" w:w="2520"/>
            <w:vAlign w:val="center"/>
          </w:tcPr>
          <w:p>
            <w:r>
              <w:t>0.78</w:t>
            </w:r>
          </w:p>
        </w:tc>
        <w:tc>
          <w:tcPr>
            <w:tcW w:type="dxa" w:w="2520"/>
            <w:vAlign w:val="center"/>
          </w:tcPr>
          <w:p>
            <w:r>
              <w:t>0.63</w:t>
            </w:r>
          </w:p>
        </w:tc>
        <w:tc>
          <w:tcPr>
            <w:tcW w:type="dxa" w:w="2520"/>
            <w:vAlign w:val="center"/>
          </w:tcPr>
          <w:p>
            <w:r>
              <w:t>0.69</w:t>
            </w:r>
          </w:p>
        </w:tc>
      </w:tr>
    </w:tbl>
    <w:p/>
    <w:p>
      <w:r>
        <w:t>The class-wise values above are calculated directly from the final confusion matrix shown in the project output. The final accuracy is calculated as (5,746 + 4,250) / 13,735 = 72.78%.</w:t>
      </w:r>
    </w:p>
    <w:p>
      <w:pPr>
        <w:pStyle w:val="Heading1"/>
      </w:pPr>
      <w:r>
        <w:t>10. Conclusion</w:t>
      </w:r>
    </w:p>
    <w:p>
      <w:r>
        <w:t>The project successfully completed the complete machine-learning workflow from raw-data inspection through preprocessing, visualization, model comparison, hyperparameter tuning, and final evaluation. The Decision Tree model with max_depth = 5 was selected because it achieved the highest accuracy among the tested models/settings, with a final accuracy of 72.78% on the test set.</w:t>
      </w:r>
    </w:p>
    <w:p>
      <w:r>
        <w:t>The model can be presented as an educational/project prediction system. Its predictions should not be treated as medical diagnosis, and further validation on independent clinical data would be required before any real-world medical use.</w:t>
      </w:r>
    </w:p>
    <w:p>
      <w:pPr>
        <w:pStyle w:val="Heading1"/>
      </w:pPr>
      <w:r>
        <w:t>11. Files Generated</w:t>
      </w:r>
    </w:p>
    <w:p>
      <w:pPr>
        <w:pStyle w:val="ListBullet"/>
      </w:pPr>
      <w:r>
        <w:t>Code/01_data_analysis.py</w:t>
      </w:r>
    </w:p>
    <w:p>
      <w:pPr>
        <w:pStyle w:val="ListBullet"/>
      </w:pPr>
      <w:r>
        <w:t>Code/02_preprocessing.py</w:t>
      </w:r>
    </w:p>
    <w:p>
      <w:pPr>
        <w:pStyle w:val="ListBullet"/>
      </w:pPr>
      <w:r>
        <w:t>Code/03_visualization.py</w:t>
      </w:r>
    </w:p>
    <w:p>
      <w:pPr>
        <w:pStyle w:val="ListBullet"/>
      </w:pPr>
      <w:r>
        <w:t>Code/04_model_training.py</w:t>
      </w:r>
    </w:p>
    <w:p>
      <w:pPr>
        <w:pStyle w:val="ListBullet"/>
      </w:pPr>
      <w:r>
        <w:t>Output/cardio_cleaned.csv</w:t>
      </w:r>
    </w:p>
    <w:p>
      <w:pPr>
        <w:pStyle w:val="ListBullet"/>
      </w:pPr>
      <w:r>
        <w:t>Output/final_decision_tree_model.pkl</w:t>
      </w:r>
    </w:p>
    <w:p>
      <w:pPr>
        <w:pStyle w:val="ListBullet"/>
      </w:pPr>
      <w:r>
        <w:t>Output/final_confusion_matrix.png</w:t>
      </w:r>
    </w:p>
    <w:p>
      <w:pPr>
        <w:pStyle w:val="ListBullet"/>
      </w:pPr>
      <w:r>
        <w:t>Output/Plots/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