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Requirements Specification Table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Lab 1: Requirements Engineering &amp; UML Use-Case Modelling</w:t>
      </w:r>
    </w:p>
    <w:p>
      <w:pPr>
        <w:spacing w:after="300"/>
        <w:jc w:val="center"/>
      </w:pPr>
      <w:r>
        <w:rPr>
          <w:sz w:val="20"/>
          <w:szCs w:val="20"/>
        </w:rPr>
        <w:t xml:space="preserve">Problem Statement #53 — Freelance Content Creator Escrow Platform (Media, Events &amp; Community)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200"/>
        <w:gridCol w:w="900"/>
        <w:gridCol w:w="2500"/>
        <w:gridCol w:w="2000"/>
      </w:tblGrid>
      <w:tr>
        <w:trPr>
          <w:tblHeader/>
        </w:trPr>
        <w:tc>
          <w:tcPr>
            <w:tcW w:type="dxa" w:w="9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0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allow creators to submit draft media deliverables for client review and release locked milestone payments upon sponsor approval sign-off.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Milestone is marked “completed” and funds are credited to the creator balance only after sponsor sign-off is recorded. Fail: Funds are released without a recorded client sign-off.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Core escrow function; protects both creator and sponsor by tying payment to verified approval (given).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allow a content creator to define a deliverable milestone by specifying a title, due date, and payment amount before work begins.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A new milestone record is created with title, due date, and amount fields all populated and visible to the assigned sponsor within 2 seconds. Fail: A milestone can be saved with any required field blank.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Milestones must be agreed and funded up front so escrow payment release has a clear, contracted basis.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allow a client sponsor to review a watermarked draft deliverable and record an explicit “approve” or “reject” decision with optional comments.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Selecting “Approve” or “Reject” updates the milestone status field and timestamps the decision; a decision cannot be left blank. Fail: A milestone remains in “pending review” with no recorded decision after the sponsor exits the review screen.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An explicit, auditable decision is required before any payment can legally and contractually be released.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allow a client sponsor to request a revision on a submitted draft by selecting “Request Revision” and entering a reason, returning the milestone to “in progress” status.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Submitting a revision request changes milestone status to “revision requested,” stores the reason text, and notifies the creator within 1 minute. Fail: Milestone status remains “pending review” after a revision request is submitted.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Sponsors need a documented way to send work back without rejecting the milestone outright, preserving the working relationship.</w:t>
            </w:r>
          </w:p>
        </w:tc>
      </w:tr>
      <w:tr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send an in-app and email notification to the relevant creator or sponsor whenever a milestone status changes (e.g., submitted, approved, rejected, revision requested, paid).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A notification log entry and email are generated within 60 seconds of every status change, addressed to the correct recipient. Fail: A status change occurs with no corresponding notification logged.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Timely notification keeps both parties informed and reduces disputes over missed deadlines or decisions.</w:t>
            </w:r>
          </w:p>
        </w:tc>
      </w:tr>
      <w:tr>
        <w:tc>
          <w:tcPr>
            <w:tcW w:type="dxa" w:w="9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Uploaded media drafts must process automated watermarking in under 5 seconds for video/image previews.</w:t>
            </w:r>
          </w:p>
        </w:tc>
        <w:tc>
          <w:tcPr>
            <w:tcW w:type="dxa" w:w="9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Benchmark tests confirm watermarking latency under 5 seconds and meet security standards under simulated peak load. Fail: Watermarking exceeds 5 seconds for any tested preview file under peak load.</w:t>
            </w:r>
          </w:p>
        </w:tc>
        <w:tc>
          <w:tcPr>
            <w:tcW w:type="dxa" w:w="20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Performance &amp; Security — slow watermarking would bottleneck the submit/review workflow (given).</w:t>
            </w:r>
          </w:p>
        </w:tc>
      </w:tr>
      <w:tr>
        <w:tc>
          <w:tcPr>
            <w:tcW w:type="dxa" w:w="9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The system shall encrypt all financial and milestone-payment data using industry-standard encryption (e.g., AES-256) both in transit and at rest.</w:t>
            </w:r>
          </w:p>
        </w:tc>
        <w:tc>
          <w:tcPr>
            <w:tcW w:type="dxa" w:w="900"/>
            <w:shd w:fill="EAF1FB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Pass: A security audit confirms all payment and escrow records are encrypted at rest and TLS 1.2+ is enforced for all data in transit. Fail: Any financial record is found stored or transmitted unencrypted during audit.</w:t>
            </w:r>
          </w:p>
        </w:tc>
        <w:tc>
          <w:tcPr>
            <w:tcW w:type="dxa" w:w="2000"/>
            <w:shd w:fill="EAF1FB" w:color="auto" w:val="clear"/>
            <w:vAlign w:val="center"/>
          </w:tcPr>
          <w:p>
            <w:r>
              <w:rPr>
                <w:sz w:val="18"/>
                <w:szCs w:val="18"/>
              </w:rPr>
              <w:t xml:space="preserve">Security — escrow platforms hold third-party funds and must protect financial data to maintain trust and meet compliance obligations.</w:t>
            </w:r>
          </w:p>
        </w:tc>
      </w:tr>
    </w:tbl>
    <w:p>
      <w:pPr>
        <w:spacing w:before="300"/>
      </w:pPr>
      <w:r>
        <w:t xml:space="preserve"/>
      </w:r>
    </w:p>
    <w:p>
      <w:pPr>
        <w:spacing w:before="200"/>
      </w:pPr>
      <w:r>
        <w:rPr>
          <w:b/>
          <w:bCs/>
          <w:sz w:val="18"/>
          <w:szCs w:val="18"/>
        </w:rPr>
        <w:t xml:space="preserve">Notes:</w:t>
      </w:r>
    </w:p>
    <w:p>
      <w:r>
        <w:rPr>
          <w:sz w:val="18"/>
          <w:szCs w:val="18"/>
        </w:rPr>
        <w:t xml:space="preserve">• FR-001 and NFR-001 were provided by the instructor problem statement; FR-002–FR-005 and NFR-002 were elicited by the student from the scenario.</w:t>
      </w:r>
    </w:p>
    <w:p>
      <w:r>
        <w:rPr>
          <w:sz w:val="18"/>
          <w:szCs w:val="18"/>
        </w:rPr>
        <w:t xml:space="preserve">• All acceptance criteria are written as measurable, testable pass/fail conditions per the SRS format required for this lab.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2026-08-25T06:03:55.194Z</dcterms:created>
  <dcterms:modified xsi:type="dcterms:W3CDTF">2026-08-25T06:03:55.212Z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